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3BAB7" w14:textId="478017CC" w:rsidR="00980C7D" w:rsidRPr="00980C7D" w:rsidRDefault="00980C7D" w:rsidP="004F5DCB">
      <w:pPr>
        <w:pStyle w:val="Default"/>
        <w:jc w:val="right"/>
        <w:rPr>
          <w:b/>
          <w:bCs/>
          <w:sz w:val="20"/>
          <w:szCs w:val="20"/>
          <w:lang w:val="pl-PL"/>
        </w:rPr>
      </w:pPr>
      <w:r w:rsidRPr="004F5DCB">
        <w:rPr>
          <w:b/>
          <w:bCs/>
          <w:sz w:val="22"/>
          <w:szCs w:val="20"/>
          <w:lang w:val="pl-PL"/>
        </w:rPr>
        <w:t>Załącznik nr 7 do SWZ</w:t>
      </w:r>
    </w:p>
    <w:p w14:paraId="76C0B1FB" w14:textId="77777777" w:rsidR="00980C7D" w:rsidRDefault="00980C7D" w:rsidP="00CF6545">
      <w:pPr>
        <w:pStyle w:val="Default"/>
        <w:jc w:val="center"/>
        <w:rPr>
          <w:b/>
          <w:bCs/>
          <w:sz w:val="28"/>
          <w:szCs w:val="28"/>
          <w:lang w:val="pl-PL"/>
        </w:rPr>
      </w:pPr>
    </w:p>
    <w:p w14:paraId="07CB462A" w14:textId="2BF52607" w:rsidR="00CF6545" w:rsidRPr="00CF6545" w:rsidRDefault="00CF6545" w:rsidP="00CF6545">
      <w:pPr>
        <w:pStyle w:val="Default"/>
        <w:jc w:val="center"/>
        <w:rPr>
          <w:sz w:val="28"/>
          <w:szCs w:val="28"/>
          <w:lang w:val="pl-PL"/>
        </w:rPr>
      </w:pPr>
      <w:r w:rsidRPr="00CF6545">
        <w:rPr>
          <w:b/>
          <w:bCs/>
          <w:sz w:val="28"/>
          <w:szCs w:val="28"/>
          <w:lang w:val="pl-PL"/>
        </w:rPr>
        <w:t>SZCZEGÓŁOWY OPIS PRZEDMIOTU ZAMÓWIENIA</w:t>
      </w:r>
    </w:p>
    <w:p w14:paraId="1C4F6385" w14:textId="7B8E51A9" w:rsidR="00CF6545" w:rsidRDefault="00CF6545" w:rsidP="00CF65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Zakup wraz z dostawą sprzętu komputerowego i oprogramowania przy realizacji projektu „Cyberbezpieczn</w:t>
      </w:r>
      <w:r w:rsidR="00665122">
        <w:rPr>
          <w:b/>
          <w:bCs/>
          <w:sz w:val="28"/>
          <w:szCs w:val="28"/>
        </w:rPr>
        <w:t>y Samorząd Gminy Iwaniska</w:t>
      </w:r>
      <w:r>
        <w:rPr>
          <w:b/>
          <w:bCs/>
          <w:sz w:val="28"/>
          <w:szCs w:val="28"/>
        </w:rPr>
        <w:t>”</w:t>
      </w:r>
      <w:r w:rsidR="004C466F">
        <w:rPr>
          <w:b/>
          <w:bCs/>
          <w:sz w:val="28"/>
          <w:szCs w:val="28"/>
        </w:rPr>
        <w:t>(powtórka)</w:t>
      </w:r>
    </w:p>
    <w:p w14:paraId="2CA9A9E1" w14:textId="77777777" w:rsidR="00CF6545" w:rsidRDefault="00CF6545" w:rsidP="00CF6545">
      <w:pPr>
        <w:jc w:val="center"/>
        <w:rPr>
          <w:b/>
          <w:bCs/>
          <w:sz w:val="28"/>
          <w:szCs w:val="28"/>
        </w:rPr>
      </w:pPr>
    </w:p>
    <w:p w14:paraId="03E6D7F0" w14:textId="77777777" w:rsidR="00CF6545" w:rsidRPr="00CF6545" w:rsidRDefault="00CF6545" w:rsidP="00CF6545">
      <w:pPr>
        <w:pStyle w:val="Nagwek1"/>
      </w:pPr>
      <w:r w:rsidRPr="00CF6545">
        <w:t>1. Przedmiot zamówienia.</w:t>
      </w:r>
    </w:p>
    <w:p w14:paraId="49F6B255" w14:textId="48CDABCD" w:rsidR="00CF6545" w:rsidRDefault="00CF6545" w:rsidP="00CF6545">
      <w:pPr>
        <w:jc w:val="both"/>
      </w:pPr>
      <w:r>
        <w:t xml:space="preserve">Przedmiotem zamówienia w ramach niniejszego postępowania jest zakup wraz z dostawą przy realizacji projektu </w:t>
      </w:r>
      <w:r>
        <w:rPr>
          <w:b/>
          <w:bCs/>
        </w:rPr>
        <w:t>„Cyberbezpieczn</w:t>
      </w:r>
      <w:r w:rsidR="00665122">
        <w:rPr>
          <w:b/>
          <w:bCs/>
        </w:rPr>
        <w:t>y Samorząd Gminy Iwaniska</w:t>
      </w:r>
      <w:r>
        <w:rPr>
          <w:b/>
          <w:bCs/>
        </w:rPr>
        <w:t xml:space="preserve">” </w:t>
      </w:r>
      <w:r>
        <w:t xml:space="preserve">realizowanego w ramach projektu grantowego „Cyberbezpieczny Samorząd” w ramach programu operacyjnego Fundusze Europejskie na Rozwój Cyfrowy (FERC) </w:t>
      </w:r>
    </w:p>
    <w:p w14:paraId="18243DCC" w14:textId="78C3E227" w:rsidR="00CF6545" w:rsidRDefault="00CF6545" w:rsidP="00CF6545">
      <w:r>
        <w:t xml:space="preserve">Zamówienie obejmuje następujące jednostki organizacyjne </w:t>
      </w:r>
      <w:r w:rsidR="00711AB6">
        <w:t>Gminy Iwaniska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F6545" w14:paraId="187A074A" w14:textId="77777777" w:rsidTr="00CF65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63898F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Nazwa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A1139C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Adres</w:t>
            </w:r>
          </w:p>
        </w:tc>
      </w:tr>
      <w:tr w:rsidR="00CF6545" w14:paraId="7B619430" w14:textId="77777777" w:rsidTr="00CF65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5D87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Urząd Miasta i Gminy Iwaniska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CE00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Iwaniska, ul. Rynek 3</w:t>
            </w:r>
          </w:p>
        </w:tc>
      </w:tr>
      <w:tr w:rsidR="00CF6545" w14:paraId="51ADE7D9" w14:textId="77777777" w:rsidTr="00CF65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EC7F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Ośrodek Pomocy Społecznej w Iwaniskach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B61A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Iwaniska, ul. Rynek 3</w:t>
            </w:r>
          </w:p>
        </w:tc>
      </w:tr>
      <w:tr w:rsidR="00CF6545" w14:paraId="63A6C29D" w14:textId="77777777" w:rsidTr="00CF65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58F6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Centrum Usług Wspólnych w Iwaniskach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2C7" w14:textId="4E26C007" w:rsidR="00CF6545" w:rsidRDefault="00711AB6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Iwaniska, ul. Opatowska 25</w:t>
            </w:r>
          </w:p>
        </w:tc>
      </w:tr>
      <w:tr w:rsidR="00CF6545" w14:paraId="56F3CA27" w14:textId="77777777" w:rsidTr="00CF654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F554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Dom Pomocy Społecznej w Przepiórowie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4764" w14:textId="370C5401" w:rsidR="00CF6545" w:rsidRDefault="00011A8A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Przepiórów</w:t>
            </w:r>
            <w:r w:rsidR="00711AB6">
              <w:rPr>
                <w:lang w:eastAsia="en-US"/>
              </w:rPr>
              <w:t xml:space="preserve"> 33a</w:t>
            </w:r>
          </w:p>
        </w:tc>
      </w:tr>
    </w:tbl>
    <w:p w14:paraId="48215DEE" w14:textId="77777777" w:rsidR="00CF6545" w:rsidRDefault="00CF6545" w:rsidP="00CF6545">
      <w:pPr>
        <w:pStyle w:val="Nagwek1"/>
        <w:rPr>
          <w:rFonts w:asciiTheme="majorHAnsi" w:hAnsiTheme="majorHAnsi" w:cstheme="majorBidi"/>
          <w:szCs w:val="28"/>
        </w:rPr>
      </w:pPr>
      <w:r>
        <w:t>2. Harmonogram realizacji.</w:t>
      </w:r>
    </w:p>
    <w:tbl>
      <w:tblPr>
        <w:tblStyle w:val="Tabela-Siatka"/>
        <w:tblW w:w="9201" w:type="dxa"/>
        <w:tblLook w:val="04A0" w:firstRow="1" w:lastRow="0" w:firstColumn="1" w:lastColumn="0" w:noHBand="0" w:noVBand="1"/>
      </w:tblPr>
      <w:tblGrid>
        <w:gridCol w:w="1101"/>
        <w:gridCol w:w="5244"/>
        <w:gridCol w:w="2856"/>
      </w:tblGrid>
      <w:tr w:rsidR="00CF6545" w14:paraId="1FD199FA" w14:textId="77777777" w:rsidTr="00CF6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1D54A5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Etap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4507F8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Zakres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4FA09F" w14:textId="77777777" w:rsidR="00CF6545" w:rsidRPr="00CF6545" w:rsidRDefault="00CF6545">
            <w:pPr>
              <w:pStyle w:val="Default"/>
              <w:jc w:val="both"/>
              <w:rPr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Maksymalny czas od podpisania umowy </w:t>
            </w:r>
          </w:p>
        </w:tc>
      </w:tr>
      <w:tr w:rsidR="00CF6545" w14:paraId="1DB27A30" w14:textId="77777777" w:rsidTr="00CF6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7B9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AE1F" w14:textId="77777777" w:rsidR="00CF6545" w:rsidRPr="00CF6545" w:rsidRDefault="00CF6545">
            <w:pPr>
              <w:pStyle w:val="Default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Dostawa i konfiguracja sprzętu. Dostawa oprogramowania instalacja i konfiguracja oprogramowania.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B3E7" w14:textId="22A73C9F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5</w:t>
            </w:r>
            <w:r w:rsidR="002A547F">
              <w:t>0</w:t>
            </w:r>
            <w:r>
              <w:t xml:space="preserve"> dni </w:t>
            </w:r>
          </w:p>
        </w:tc>
      </w:tr>
      <w:tr w:rsidR="00CF6545" w14:paraId="04FA8793" w14:textId="77777777" w:rsidTr="00CF6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209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11DE" w14:textId="77777777" w:rsidR="00CF6545" w:rsidRPr="00CF6545" w:rsidRDefault="00CF6545">
            <w:pPr>
              <w:pStyle w:val="Default"/>
              <w:jc w:val="both"/>
              <w:rPr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Uruchomienie produkcyjne po zakończeniu dostawy.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2906" w14:textId="22FFF294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 xml:space="preserve">5 dni </w:t>
            </w:r>
          </w:p>
        </w:tc>
      </w:tr>
    </w:tbl>
    <w:p w14:paraId="1A2FD551" w14:textId="77777777" w:rsidR="00CF6545" w:rsidRDefault="00CF6545" w:rsidP="00CF6545">
      <w:pPr>
        <w:pStyle w:val="Nagwek1"/>
        <w:rPr>
          <w:rFonts w:asciiTheme="majorHAnsi" w:hAnsiTheme="majorHAnsi" w:cstheme="majorBidi"/>
          <w:szCs w:val="28"/>
        </w:rPr>
      </w:pPr>
      <w:r>
        <w:t>3. Podstawowe założenia.</w:t>
      </w:r>
    </w:p>
    <w:p w14:paraId="38173FC5" w14:textId="5D7A2C9F" w:rsidR="00CF6545" w:rsidRPr="00CF6545" w:rsidRDefault="00CF6545" w:rsidP="00CF6545">
      <w:pPr>
        <w:pStyle w:val="Default"/>
        <w:jc w:val="both"/>
        <w:rPr>
          <w:sz w:val="23"/>
          <w:szCs w:val="23"/>
          <w:lang w:val="pl-PL"/>
        </w:rPr>
      </w:pPr>
      <w:r w:rsidRPr="00CF6545">
        <w:rPr>
          <w:sz w:val="23"/>
          <w:szCs w:val="23"/>
          <w:lang w:val="pl-PL"/>
        </w:rPr>
        <w:t>Z uwagi na to, że mamy do czynienia z jednostkami organizacyjnymi, należy przyjąć, że każda z nich ma własną politykę bezpieczeństwa, a co za tym idzie, musi mieć możliwość samodzielnego zarządzania urządzeniami siecio</w:t>
      </w:r>
      <w:r w:rsidR="0045540B">
        <w:rPr>
          <w:sz w:val="23"/>
          <w:szCs w:val="23"/>
          <w:lang w:val="pl-PL"/>
        </w:rPr>
        <w:t>wymi realizującymi tę politykę.</w:t>
      </w:r>
    </w:p>
    <w:p w14:paraId="6EF63D02" w14:textId="77777777" w:rsidR="00CF6545" w:rsidRDefault="00CF6545" w:rsidP="00CF6545">
      <w:pPr>
        <w:jc w:val="both"/>
        <w:rPr>
          <w:sz w:val="23"/>
          <w:szCs w:val="23"/>
        </w:rPr>
      </w:pPr>
      <w:r>
        <w:rPr>
          <w:sz w:val="23"/>
          <w:szCs w:val="23"/>
        </w:rPr>
        <w:t>Każda jednostka będzie administrować dostarczonym rozwiązaniem we własnym zakresie.</w:t>
      </w:r>
    </w:p>
    <w:p w14:paraId="778F6AC3" w14:textId="77777777" w:rsidR="00CF6545" w:rsidRDefault="00CF6545" w:rsidP="00CF6545">
      <w:pPr>
        <w:pStyle w:val="Nagwek1"/>
        <w:rPr>
          <w:szCs w:val="28"/>
        </w:rPr>
      </w:pPr>
      <w:r>
        <w:lastRenderedPageBreak/>
        <w:t>4. Wymagania ogólne dotyczące przedmiotu zamówienia.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1384"/>
        <w:gridCol w:w="7796"/>
      </w:tblGrid>
      <w:tr w:rsidR="00711AB6" w:rsidRPr="00711AB6" w14:paraId="0C6B7EB1" w14:textId="77777777" w:rsidTr="00711AB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53FFB08D" w14:textId="77777777" w:rsidR="00CF6545" w:rsidRPr="00711AB6" w:rsidRDefault="00CF6545">
            <w:pPr>
              <w:pStyle w:val="Default"/>
              <w:jc w:val="both"/>
              <w:rPr>
                <w:color w:val="FFFFFF" w:themeColor="background1"/>
                <w:sz w:val="23"/>
                <w:szCs w:val="23"/>
                <w:lang w:eastAsia="en-US"/>
              </w:rPr>
            </w:pPr>
            <w:proofErr w:type="spellStart"/>
            <w:r w:rsidRPr="00711AB6">
              <w:rPr>
                <w:color w:val="FFFFFF" w:themeColor="background1"/>
                <w:sz w:val="23"/>
                <w:szCs w:val="23"/>
              </w:rPr>
              <w:t>Wymaganie</w:t>
            </w:r>
            <w:proofErr w:type="spellEnd"/>
            <w:r w:rsidRPr="00711AB6">
              <w:rPr>
                <w:color w:val="FFFFFF" w:themeColor="background1"/>
                <w:sz w:val="23"/>
                <w:szCs w:val="23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1324F8DA" w14:textId="77777777" w:rsidR="00CF6545" w:rsidRPr="00711AB6" w:rsidRDefault="00CF6545">
            <w:pPr>
              <w:pStyle w:val="Default"/>
              <w:jc w:val="both"/>
              <w:rPr>
                <w:color w:val="FFFFFF" w:themeColor="background1"/>
                <w:sz w:val="23"/>
                <w:szCs w:val="23"/>
                <w:lang w:eastAsia="en-US"/>
              </w:rPr>
            </w:pPr>
            <w:proofErr w:type="spellStart"/>
            <w:r w:rsidRPr="00711AB6">
              <w:rPr>
                <w:color w:val="FFFFFF" w:themeColor="background1"/>
                <w:sz w:val="23"/>
                <w:szCs w:val="23"/>
              </w:rPr>
              <w:t>Minimalne</w:t>
            </w:r>
            <w:proofErr w:type="spellEnd"/>
            <w:r w:rsidRPr="00711AB6">
              <w:rPr>
                <w:color w:val="FFFFFF" w:themeColor="background1"/>
                <w:sz w:val="23"/>
                <w:szCs w:val="23"/>
              </w:rPr>
              <w:t xml:space="preserve"> </w:t>
            </w:r>
            <w:proofErr w:type="spellStart"/>
            <w:r w:rsidRPr="00711AB6">
              <w:rPr>
                <w:color w:val="FFFFFF" w:themeColor="background1"/>
                <w:sz w:val="23"/>
                <w:szCs w:val="23"/>
              </w:rPr>
              <w:t>wymagania</w:t>
            </w:r>
            <w:proofErr w:type="spellEnd"/>
            <w:r w:rsidRPr="00711AB6">
              <w:rPr>
                <w:color w:val="FFFFFF" w:themeColor="background1"/>
                <w:sz w:val="23"/>
                <w:szCs w:val="23"/>
              </w:rPr>
              <w:t xml:space="preserve"> </w:t>
            </w:r>
          </w:p>
        </w:tc>
      </w:tr>
      <w:tr w:rsidR="00CF6545" w14:paraId="49A672A8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0852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F838" w14:textId="1C7D5319" w:rsidR="00CF6545" w:rsidRPr="00CF6545" w:rsidRDefault="00CF6545" w:rsidP="00E4388F">
            <w:pPr>
              <w:pStyle w:val="Default"/>
              <w:jc w:val="both"/>
              <w:rPr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Całość dostarczanego sprzętu i oprogramowania musi pochodzić z autoryzowanego kanału sprzedaży producentów na terenie kraju, zapewniających w szczególności realizację uprawnień gwarancyjnych, nie mogą pochodzić z rynku wtórnego</w:t>
            </w:r>
            <w:r w:rsidR="0012079E" w:rsidRPr="00CF6545">
              <w:rPr>
                <w:sz w:val="23"/>
                <w:szCs w:val="23"/>
                <w:lang w:val="pl-PL"/>
              </w:rPr>
              <w:t xml:space="preserve">. </w:t>
            </w:r>
            <w:r w:rsidR="0012079E" w:rsidRPr="0012079E">
              <w:rPr>
                <w:sz w:val="23"/>
                <w:szCs w:val="23"/>
                <w:lang w:val="pl-PL"/>
              </w:rPr>
              <w:t>– po podpisaniu umowy należy dołączyć odpowiednie oświadczenie Wykonawcy.</w:t>
            </w:r>
          </w:p>
        </w:tc>
      </w:tr>
      <w:tr w:rsidR="00CF6545" w14:paraId="5BC5AF91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699B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193A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Urządzenia nowe (tzn. wyprodukowane nie dawniej, niż na 12 miesięcy przed ich dostarczeniem) oraz by nie były używane (przy czym Zamawiający dopuszcza, by urządzenia były rozpakowane i uruchomione przed ich dostarczeniem wyłącznie przez wykonawcę i wyłącznie w celu realizacji procedur opisanych w zakresie Zamówienia, przy czym jest zobowiązany do poinformowania Zamawiającego o zamiarze rozpakowania sprzętu, a Zamawiający ma prawo inspekcji sprzętu przed jego rozpakowaniem).</w:t>
            </w:r>
          </w:p>
        </w:tc>
      </w:tr>
      <w:tr w:rsidR="00CF6545" w14:paraId="42F26F0A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4449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92F7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Całość dostarczonego sprzętu musi być objęta gwarancją opartą o świadczenia gwarancyjne Wykonawcy w okresie wymaganym w SWZ. Jeżeli zgodnie z licencją producenta aktualizacja oprogramowania wymaga wykupienia odpowiedniego wsparcia u producenta to Wykonawca powinien takie wsparcie wykupić. </w:t>
            </w:r>
          </w:p>
          <w:p w14:paraId="704FDD87" w14:textId="6016432A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rPr>
                <w:sz w:val="23"/>
                <w:szCs w:val="23"/>
              </w:rPr>
              <w:t>Jeżeli do poprawnego działania wymaganych funkcjonalności konieczne jest wykupienie subskrypcji to Wykonawca powinien ją zapewnić na cały okres ś</w:t>
            </w:r>
            <w:r w:rsidR="0014183A">
              <w:rPr>
                <w:sz w:val="23"/>
                <w:szCs w:val="23"/>
              </w:rPr>
              <w:t>wiadczenia usług gwarancyjnych.</w:t>
            </w:r>
          </w:p>
        </w:tc>
      </w:tr>
      <w:tr w:rsidR="00CF6545" w14:paraId="6ACB5F72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B28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D647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Z uwagi na pożądaną pełną kompatybilność, łatwiejsze zarządzanie, wsparcie oraz zabezpieczenie uprawnień gwarancyjnych Zamawiającego, dostarczane w ramach Zamówienia rozwiązania powinny pochodzić od jednego producenta w ramach poszczególnych kategorii sprzętu chyba że wymagania szczegółowe stanowią inaczej. Muszą być w pełni kompatybilne z urządzeniami już używanymi przez Zamawiającego.</w:t>
            </w:r>
          </w:p>
        </w:tc>
      </w:tr>
      <w:tr w:rsidR="00CF6545" w14:paraId="6D0F5F2B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89C9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90C0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W wypadku powzięcia wątpliwości co do zgodności oferowanych produktów z umową, w szczególności w zakresie legalności oprogramowania, Zamawiający jest uprawniony do: </w:t>
            </w:r>
          </w:p>
          <w:p w14:paraId="08090074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a) zwrócenia się do producenta oferowanych produktów o potwierdzenie ich zgodności z umową (w tym także do przekazania producentowi niezbędnych danych umożliwiających weryfikację), </w:t>
            </w:r>
          </w:p>
          <w:p w14:paraId="5C63086D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b) zlecenia producentowi oferowanych produktów, lub wskazanemu przez producenta podmiotowi, inspekcji produktów pod kątem ich zgodności z umową oraz ważności i zakresu uprawnień licencyjnych. </w:t>
            </w:r>
          </w:p>
          <w:p w14:paraId="5E4736D5" w14:textId="77777777" w:rsidR="00CF6545" w:rsidRPr="00CF6545" w:rsidRDefault="00CF6545">
            <w:pPr>
              <w:pStyle w:val="Default"/>
              <w:jc w:val="both"/>
              <w:rPr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c) jeżeli inspekcja, o której mowa powyżej wykaże niezgodność produktów z umową lub stwierdzi, że korzystanie z produktów narusza majątkowe prawa autorskie osób producenta, koszt inspekcji zostanie pokryty przez Wykonawcę, według rachunku przedstawionego przez podmiot wykonujący inspekcję, w kwocie nie przekraczającej 20% wartości zamówienia (ograniczenie to nie </w:t>
            </w:r>
            <w:r w:rsidRPr="00CF6545">
              <w:rPr>
                <w:sz w:val="23"/>
                <w:szCs w:val="23"/>
                <w:lang w:val="pl-PL"/>
              </w:rPr>
              <w:lastRenderedPageBreak/>
              <w:t>dotyczy kosztów poniesionych przez Strony w związku z inspekcją, jak np. konieczność zakupu nowego oprogramowania). Prawo zlecenia inspekcji nie ogranicza ani nie wyłącza innych uprawnień Zamawiającego, w szczególności prawa do żądania dostarczenia produktów zgodnych z umową oraz roszczeń odszkodowawczych.</w:t>
            </w:r>
          </w:p>
        </w:tc>
      </w:tr>
      <w:tr w:rsidR="00CF6545" w14:paraId="320D00BF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F401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75C0" w14:textId="77777777" w:rsidR="00CF6545" w:rsidRDefault="00CF6545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Zamawiający wymaga, by dostarczone oprogramowanie było oprogramowaniem w stabilnej aktualnej wersji na dzień wdrożenia. </w:t>
            </w:r>
            <w:r>
              <w:rPr>
                <w:sz w:val="23"/>
                <w:szCs w:val="23"/>
              </w:rPr>
              <w:t>Wymóg ten dotyczy również wersji firmware'u poszczególnych urządzeń.</w:t>
            </w:r>
          </w:p>
        </w:tc>
      </w:tr>
      <w:tr w:rsidR="00CF6545" w14:paraId="4719ACCF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807F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4B34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Oferowane urządzenia w dniu składania ofert nie mogą być przeznaczone przez producenta do wycofania z produkcji lub sprzedaży.</w:t>
            </w:r>
          </w:p>
        </w:tc>
      </w:tr>
      <w:tr w:rsidR="00CF6545" w14:paraId="7938219F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D67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37D8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Cały dostarczony sprzęt musi być fabrycznie nowy, tzn. nieużywany przed dniem dostarczenia, z wyłączeniem używania niezbędnego dla przeprowadzenia testów jego poprawnej pracy.</w:t>
            </w:r>
          </w:p>
        </w:tc>
      </w:tr>
      <w:tr w:rsidR="00CF6545" w14:paraId="1024C41C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CDE4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8ADB" w14:textId="70D060C0" w:rsidR="00CF6545" w:rsidRPr="00CF6545" w:rsidRDefault="00CF6545" w:rsidP="001A2926">
            <w:pPr>
              <w:pStyle w:val="Default"/>
              <w:jc w:val="both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Dostarczone elementy oraz dostarczone wraz z nimi oprogramowanie muszą pochodzić z oficjalnych kanałów dystrybucyjnych producenta, zapewniających w</w:t>
            </w:r>
            <w:r w:rsidR="001A2926">
              <w:rPr>
                <w:sz w:val="23"/>
                <w:szCs w:val="23"/>
                <w:lang w:val="pl-PL"/>
              </w:rPr>
              <w:t> </w:t>
            </w:r>
            <w:r w:rsidRPr="00CF6545">
              <w:rPr>
                <w:sz w:val="23"/>
                <w:szCs w:val="23"/>
                <w:lang w:val="pl-PL"/>
              </w:rPr>
              <w:t>szczególności realizację uprawnień gwarancyjnych.</w:t>
            </w:r>
          </w:p>
        </w:tc>
      </w:tr>
      <w:tr w:rsidR="00CF6545" w14:paraId="0B430079" w14:textId="77777777" w:rsidTr="00CF65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23C3" w14:textId="77777777" w:rsidR="00CF6545" w:rsidRDefault="00CF6545">
            <w:pPr>
              <w:spacing w:line="240" w:lineRule="auto"/>
              <w:jc w:val="both"/>
              <w:rPr>
                <w:lang w:eastAsia="en-US"/>
              </w:rPr>
            </w:pPr>
            <w: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D586" w14:textId="37BC4E5A" w:rsidR="00CF6545" w:rsidRPr="00CF6545" w:rsidRDefault="00CA56F4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>
              <w:rPr>
                <w:sz w:val="23"/>
                <w:szCs w:val="23"/>
                <w:lang w:val="pl-PL"/>
              </w:rPr>
              <w:t>Dostarczenie obejmuje:</w:t>
            </w:r>
          </w:p>
          <w:p w14:paraId="61781586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 w:rsidRPr="00CF6545">
              <w:rPr>
                <w:sz w:val="23"/>
                <w:szCs w:val="23"/>
                <w:lang w:val="pl-PL"/>
              </w:rPr>
              <w:t xml:space="preserve">a) wniesienie, ustawienie i fizyczny montaż wszystkich dostarczonych urządzeń w szafach rack. </w:t>
            </w:r>
          </w:p>
          <w:p w14:paraId="56DE9716" w14:textId="55170A43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/>
              </w:rPr>
            </w:pPr>
            <w:r w:rsidRPr="00CF6545">
              <w:rPr>
                <w:sz w:val="23"/>
                <w:szCs w:val="23"/>
                <w:lang w:val="pl-PL"/>
              </w:rPr>
              <w:t>b) urządzenia, które nie są montowane w szafach teleinformatycznych powinny zostać dostarczone w miejsce wskazane przez Zamawiającego, zamontowane</w:t>
            </w:r>
            <w:r w:rsidR="00CA56F4">
              <w:rPr>
                <w:sz w:val="23"/>
                <w:szCs w:val="23"/>
                <w:lang w:val="pl-PL"/>
              </w:rPr>
              <w:t>, skonfigurowane i uruchomione.</w:t>
            </w:r>
          </w:p>
          <w:p w14:paraId="34571164" w14:textId="77777777" w:rsidR="00CF6545" w:rsidRPr="00CF6545" w:rsidRDefault="00CF6545">
            <w:pPr>
              <w:pStyle w:val="Default"/>
              <w:jc w:val="both"/>
              <w:rPr>
                <w:sz w:val="23"/>
                <w:szCs w:val="23"/>
                <w:lang w:val="pl-PL" w:eastAsia="en-US"/>
              </w:rPr>
            </w:pPr>
            <w:r w:rsidRPr="00CF6545">
              <w:rPr>
                <w:sz w:val="23"/>
                <w:szCs w:val="23"/>
                <w:lang w:val="pl-PL"/>
              </w:rPr>
              <w:t>c) opakowania po urządzeniach muszą być usunięte wraz z innymi zbędnymi pozostałościami po procesie instalacji urządzeń.</w:t>
            </w:r>
          </w:p>
        </w:tc>
      </w:tr>
    </w:tbl>
    <w:p w14:paraId="2475DEF3" w14:textId="77777777" w:rsidR="00CF6545" w:rsidRDefault="00CF6545" w:rsidP="00CF6545">
      <w:pPr>
        <w:pStyle w:val="Nagwek1"/>
        <w:rPr>
          <w:rFonts w:asciiTheme="majorHAnsi" w:hAnsiTheme="majorHAnsi" w:cstheme="majorBidi"/>
          <w:szCs w:val="28"/>
        </w:rPr>
      </w:pPr>
      <w:r>
        <w:t>5. Równoważność rozwiązań.</w:t>
      </w:r>
    </w:p>
    <w:p w14:paraId="58F6E492" w14:textId="77777777" w:rsidR="00CF6545" w:rsidRPr="00CF6545" w:rsidRDefault="00CF6545" w:rsidP="00CF6545">
      <w:pPr>
        <w:pStyle w:val="Default"/>
        <w:jc w:val="both"/>
        <w:rPr>
          <w:sz w:val="23"/>
          <w:szCs w:val="23"/>
          <w:lang w:val="pl-PL"/>
        </w:rPr>
      </w:pPr>
      <w:r w:rsidRPr="00CF6545">
        <w:rPr>
          <w:sz w:val="23"/>
          <w:szCs w:val="23"/>
          <w:lang w:val="pl-PL"/>
        </w:rPr>
        <w:t xml:space="preserve">W celu zachowania reguły konkurencyjności dopuszcza się rozwiązania równoważne do wyspecyfikowanych w treści niniejszego OPZ, przy czym za rozwiązanie równoważne uważa się takie rozwiązanie, które pod względem technologii, wydajności i funkcjonalności przez to rozwiązanie oferowanych, nie odbiega znacząco od technologii funkcjonalności i wydajności wyszczególnionych w rozwiązaniu wyspecyfikowanym, przy czym nie podlegają porównaniu cechy rozwiązania właściwe wyłącznie dla rozwiązania wyspecyfikowanego, takie jak: zastrzeżone patenty, własnościowe rozwiązania technologiczne, własnościowe protokoły itp., a jedynie te, które stanowią o istocie </w:t>
      </w:r>
      <w:r w:rsidRPr="00CF6545">
        <w:rPr>
          <w:sz w:val="22"/>
          <w:szCs w:val="22"/>
          <w:lang w:val="pl-PL"/>
        </w:rPr>
        <w:t xml:space="preserve">całości zakładanych rozwiązań technologicznych i posiadają </w:t>
      </w:r>
      <w:r w:rsidRPr="00CF6545">
        <w:rPr>
          <w:sz w:val="23"/>
          <w:szCs w:val="23"/>
          <w:lang w:val="pl-PL"/>
        </w:rPr>
        <w:t xml:space="preserve">odniesienie w rozwiązaniu równoważnym. </w:t>
      </w:r>
    </w:p>
    <w:p w14:paraId="12AB9C25" w14:textId="2D49943A" w:rsidR="00CF6545" w:rsidRPr="00CF6545" w:rsidRDefault="00CF6545" w:rsidP="00CF6545">
      <w:pPr>
        <w:pStyle w:val="Default"/>
        <w:jc w:val="both"/>
        <w:rPr>
          <w:sz w:val="23"/>
          <w:szCs w:val="23"/>
          <w:lang w:val="pl-PL"/>
        </w:rPr>
      </w:pPr>
      <w:r w:rsidRPr="00CF6545">
        <w:rPr>
          <w:sz w:val="23"/>
          <w:szCs w:val="23"/>
          <w:lang w:val="pl-PL"/>
        </w:rPr>
        <w:t>W związku z tym, Wykonawca może zaproponować rozwiązania, które realizują takie same funkcjonalności wyspecyfikowane przez Zamawiającego w inny niż podany sposób. Za rozwiązanie równoważne nie można uznać rozwiązania identycznego (tożsa</w:t>
      </w:r>
      <w:r w:rsidR="00BA54DE">
        <w:rPr>
          <w:sz w:val="23"/>
          <w:szCs w:val="23"/>
          <w:lang w:val="pl-PL"/>
        </w:rPr>
        <w:t>mego), a jedynie takie, które w </w:t>
      </w:r>
      <w:r w:rsidRPr="00CF6545">
        <w:rPr>
          <w:sz w:val="23"/>
          <w:szCs w:val="23"/>
          <w:lang w:val="pl-PL"/>
        </w:rPr>
        <w:t>porównywanych cechach wykazuje dokładnie tą samą lub bardzo zbliżoną wartość użytkową. Przez bardzo zbliżoną wartość użytkową rozumie się podobne, z dopuszczeniem nieznacznych różnic nie wpływających w żadnym stopniu na całokształt systemu, zachowanie oraz realizowanie podobnych funkcjonalności w danych warunkach, identycznych dla obu rozwiązań, dla których to warunkó</w:t>
      </w:r>
      <w:r w:rsidR="00A423BB">
        <w:rPr>
          <w:sz w:val="23"/>
          <w:szCs w:val="23"/>
          <w:lang w:val="pl-PL"/>
        </w:rPr>
        <w:t>w rozwiązania te są dedykowane.</w:t>
      </w:r>
    </w:p>
    <w:p w14:paraId="5C91E885" w14:textId="77777777" w:rsidR="00CF6545" w:rsidRDefault="00CF6545" w:rsidP="00CF6545">
      <w:pPr>
        <w:jc w:val="both"/>
        <w:rPr>
          <w:sz w:val="23"/>
          <w:szCs w:val="23"/>
        </w:rPr>
      </w:pPr>
      <w:r>
        <w:rPr>
          <w:sz w:val="23"/>
          <w:szCs w:val="23"/>
        </w:rPr>
        <w:t>Rozwiązanie równoważne musi zawierać dokumentację dostarczoną przez Wykonawcę potwierdzającą, iż spełnia wymagania funkcjonalne Zamawiającego, w tym wyniki porównań, testów, czy możliwości oferowanych przez to rozwiązanie w odniesieniu do rozwiązania wyspecyfikowanego.</w:t>
      </w:r>
    </w:p>
    <w:p w14:paraId="64920F2E" w14:textId="77777777" w:rsidR="00CF6545" w:rsidRDefault="00CF6545" w:rsidP="00CF6545">
      <w:pPr>
        <w:pStyle w:val="Nagwek1"/>
        <w:rPr>
          <w:szCs w:val="28"/>
        </w:rPr>
      </w:pPr>
      <w:r>
        <w:t>6. Składniki zamówienia.</w:t>
      </w:r>
    </w:p>
    <w:p w14:paraId="525D41E2" w14:textId="0769044C" w:rsidR="00CF6545" w:rsidRDefault="00CF6545" w:rsidP="00CF6545">
      <w:pPr>
        <w:jc w:val="both"/>
        <w:rPr>
          <w:sz w:val="23"/>
          <w:szCs w:val="23"/>
        </w:rPr>
      </w:pPr>
      <w:r>
        <w:rPr>
          <w:sz w:val="23"/>
          <w:szCs w:val="23"/>
        </w:rPr>
        <w:t>Zamawiający nie dopuszcz</w:t>
      </w:r>
      <w:r w:rsidR="00D56352">
        <w:rPr>
          <w:sz w:val="23"/>
          <w:szCs w:val="23"/>
        </w:rPr>
        <w:t>a składania ofert częściowych i </w:t>
      </w:r>
      <w:r>
        <w:rPr>
          <w:sz w:val="23"/>
          <w:szCs w:val="23"/>
        </w:rPr>
        <w:t>ofert wariantowych.</w:t>
      </w:r>
    </w:p>
    <w:p w14:paraId="501C54F0" w14:textId="77777777" w:rsidR="00811B6E" w:rsidRDefault="00811B6E" w:rsidP="00811B6E">
      <w:pPr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4D51AFE3" w14:textId="32E712B0" w:rsidR="008D64A9" w:rsidRPr="007C129D" w:rsidRDefault="00D56352" w:rsidP="00D56352">
      <w:pPr>
        <w:pStyle w:val="Nagwek2"/>
      </w:pPr>
      <w:r>
        <w:t xml:space="preserve">6.1. </w:t>
      </w:r>
      <w:r w:rsidR="008D64A9" w:rsidRPr="007C129D">
        <w:t xml:space="preserve">Dostawa serwerów z oprogramowaniem i macierzy dyskowej </w:t>
      </w:r>
      <w:r w:rsidR="006A7552" w:rsidRPr="007C129D">
        <w:t xml:space="preserve">wraz </w:t>
      </w:r>
      <w:r>
        <w:t>z </w:t>
      </w:r>
      <w:r w:rsidR="00AB305C" w:rsidRPr="007C129D">
        <w:t>usługami</w:t>
      </w:r>
    </w:p>
    <w:p w14:paraId="3024ABA5" w14:textId="43ACBBAF" w:rsidR="008D64A9" w:rsidRPr="007C129D" w:rsidRDefault="008D64A9" w:rsidP="008D64A9">
      <w:pPr>
        <w:spacing w:after="120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b/>
          <w:bCs/>
          <w:sz w:val="20"/>
          <w:szCs w:val="20"/>
        </w:rPr>
        <w:t>Wymagania ogólne</w:t>
      </w:r>
    </w:p>
    <w:p w14:paraId="60D77756" w14:textId="41935B32" w:rsidR="00C8507F" w:rsidRPr="007C129D" w:rsidRDefault="00C8507F" w:rsidP="00CE6A92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sz w:val="20"/>
          <w:szCs w:val="20"/>
        </w:rPr>
        <w:t>Urządzenia muszą być fabrycznie nowe, pochodzić z autoryzowanego kanału sprzedaży producenta.</w:t>
      </w:r>
      <w:r w:rsidR="00837CBE">
        <w:rPr>
          <w:rFonts w:asciiTheme="minorHAnsi" w:eastAsia="Times New Roman" w:hAnsiTheme="minorHAnsi" w:cstheme="minorHAnsi"/>
          <w:sz w:val="20"/>
          <w:szCs w:val="20"/>
        </w:rPr>
        <w:t xml:space="preserve"> Nie </w:t>
      </w:r>
      <w:r w:rsidRPr="007C129D">
        <w:rPr>
          <w:rFonts w:asciiTheme="minorHAnsi" w:eastAsia="Times New Roman" w:hAnsiTheme="minorHAnsi" w:cstheme="minorHAnsi"/>
          <w:sz w:val="20"/>
          <w:szCs w:val="20"/>
        </w:rPr>
        <w:t>dopuszcza się urządzeń: odnawianych, demo</w:t>
      </w:r>
      <w:r w:rsidR="00140338">
        <w:rPr>
          <w:rFonts w:asciiTheme="minorHAnsi" w:eastAsia="Times New Roman" w:hAnsiTheme="minorHAnsi" w:cstheme="minorHAnsi"/>
          <w:sz w:val="20"/>
          <w:szCs w:val="20"/>
        </w:rPr>
        <w:t>nstracyjnych lub powystawowych.</w:t>
      </w:r>
    </w:p>
    <w:p w14:paraId="4509F9BB" w14:textId="208DD81E" w:rsidR="00C8507F" w:rsidRPr="007C129D" w:rsidRDefault="00C8507F" w:rsidP="00CE6A92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sz w:val="20"/>
          <w:szCs w:val="20"/>
        </w:rPr>
        <w:t>Nie dopuszcza się urządzeń posiadających wadę prawną w zakresie pochodzenia sprzętu, wsparcia techn</w:t>
      </w:r>
      <w:r w:rsidR="00140338">
        <w:rPr>
          <w:rFonts w:asciiTheme="minorHAnsi" w:eastAsia="Times New Roman" w:hAnsiTheme="minorHAnsi" w:cstheme="minorHAnsi"/>
          <w:sz w:val="20"/>
          <w:szCs w:val="20"/>
        </w:rPr>
        <w:t>icznego i gwarancji producenta.</w:t>
      </w:r>
    </w:p>
    <w:p w14:paraId="2ABE4C75" w14:textId="7079F591" w:rsidR="00C8507F" w:rsidRPr="007C129D" w:rsidRDefault="00C8507F" w:rsidP="00CE6A92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sz w:val="20"/>
          <w:szCs w:val="20"/>
        </w:rPr>
        <w:t>Elementy, z których zbudowane są urządzenia muszą być produktami producenta urządzeń lub być przez niego certyfikowane oraz całe muszą być objęte gwarancją producent</w:t>
      </w:r>
      <w:r w:rsidR="00B30B0A" w:rsidRPr="007C129D">
        <w:rPr>
          <w:rFonts w:asciiTheme="minorHAnsi" w:eastAsia="Times New Roman" w:hAnsiTheme="minorHAnsi" w:cstheme="minorHAnsi"/>
          <w:sz w:val="20"/>
          <w:szCs w:val="20"/>
        </w:rPr>
        <w:t>a</w:t>
      </w:r>
      <w:r w:rsidR="00140338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6187EFF4" w14:textId="40BA5320" w:rsidR="00C8507F" w:rsidRPr="007C129D" w:rsidRDefault="00C8507F" w:rsidP="00CE6A92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sz w:val="20"/>
          <w:szCs w:val="20"/>
        </w:rPr>
        <w:t>Urządzenia muszą być dostarczone Zamawiającemu w orygin</w:t>
      </w:r>
      <w:r w:rsidR="00140338">
        <w:rPr>
          <w:rFonts w:asciiTheme="minorHAnsi" w:eastAsia="Times New Roman" w:hAnsiTheme="minorHAnsi" w:cstheme="minorHAnsi"/>
          <w:sz w:val="20"/>
          <w:szCs w:val="20"/>
        </w:rPr>
        <w:t>alnych opakowaniach producenta.</w:t>
      </w:r>
    </w:p>
    <w:p w14:paraId="370D6079" w14:textId="5F4F8F1D" w:rsidR="00C8507F" w:rsidRPr="007C129D" w:rsidRDefault="00C8507F" w:rsidP="00CE6A92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sz w:val="20"/>
          <w:szCs w:val="20"/>
        </w:rPr>
        <w:t>Do każdego urządzenia musi być dostarczony komplet standardowej dokumentacji dla użytkownika w języku polskim lub angielskim w formie</w:t>
      </w:r>
      <w:r w:rsidR="00140338">
        <w:rPr>
          <w:rFonts w:asciiTheme="minorHAnsi" w:eastAsia="Times New Roman" w:hAnsiTheme="minorHAnsi" w:cstheme="minorHAnsi"/>
          <w:sz w:val="20"/>
          <w:szCs w:val="20"/>
        </w:rPr>
        <w:t xml:space="preserve"> papierowej lub elektronicznej.</w:t>
      </w:r>
    </w:p>
    <w:p w14:paraId="7DAEB0F9" w14:textId="3054018A" w:rsidR="00C8507F" w:rsidRPr="007C129D" w:rsidRDefault="00F9192D" w:rsidP="00CE6A92">
      <w:pPr>
        <w:pStyle w:val="Akapitzlist"/>
        <w:numPr>
          <w:ilvl w:val="0"/>
          <w:numId w:val="8"/>
        </w:numPr>
        <w:spacing w:after="120" w:line="240" w:lineRule="auto"/>
        <w:jc w:val="both"/>
        <w:textAlignment w:val="top"/>
        <w:rPr>
          <w:rFonts w:asciiTheme="minorHAnsi" w:eastAsia="Times New Roman" w:hAnsiTheme="minorHAnsi" w:cstheme="minorHAnsi"/>
          <w:sz w:val="20"/>
          <w:szCs w:val="20"/>
        </w:rPr>
      </w:pPr>
      <w:r w:rsidRPr="007C129D">
        <w:rPr>
          <w:rFonts w:asciiTheme="minorHAnsi" w:eastAsia="Times New Roman" w:hAnsiTheme="minorHAnsi" w:cstheme="minorHAnsi"/>
          <w:sz w:val="20"/>
          <w:szCs w:val="20"/>
        </w:rPr>
        <w:t>Urządzenia na etapie dostawy pomiędzy producentem, a zamawiającym nie mogą podlegać modyfikacjom</w:t>
      </w:r>
      <w:r w:rsidR="00C8507F" w:rsidRPr="007C129D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6820BF43" w14:textId="77777777" w:rsidR="00C8507F" w:rsidRPr="007C129D" w:rsidRDefault="00C8507F" w:rsidP="00941BEA">
      <w:pPr>
        <w:rPr>
          <w:rFonts w:asciiTheme="minorHAnsi" w:hAnsiTheme="minorHAnsi" w:cstheme="minorHAnsi"/>
          <w:b/>
          <w:bCs/>
          <w:sz w:val="20"/>
          <w:szCs w:val="20"/>
          <w:highlight w:val="yellow"/>
        </w:rPr>
      </w:pPr>
    </w:p>
    <w:p w14:paraId="4CF4A7D5" w14:textId="3FE6758B" w:rsidR="00C8507F" w:rsidRPr="007C129D" w:rsidRDefault="00BF5C31" w:rsidP="00BF5C31">
      <w:pPr>
        <w:pStyle w:val="Nagwek3"/>
        <w:jc w:val="both"/>
      </w:pPr>
      <w:r>
        <w:t xml:space="preserve">6.1.1. </w:t>
      </w:r>
      <w:r w:rsidR="006C24C1" w:rsidRPr="007C129D">
        <w:t>Serwer typ 1</w:t>
      </w:r>
      <w:r w:rsidR="00EF73D3" w:rsidRPr="007C129D">
        <w:t>, dodatkowa karta sieciowa</w:t>
      </w:r>
      <w:r w:rsidR="006C24C1" w:rsidRPr="007C129D">
        <w:t xml:space="preserve"> oraz macierz </w:t>
      </w:r>
      <w:r w:rsidR="00EF73D3" w:rsidRPr="007C129D">
        <w:t xml:space="preserve">dyskowa </w:t>
      </w:r>
      <w:r w:rsidR="006C24C1" w:rsidRPr="007C129D">
        <w:t>dla Urzędu Miasta</w:t>
      </w:r>
      <w:r w:rsidR="003F5C76" w:rsidRPr="007C129D">
        <w:t xml:space="preserve"> </w:t>
      </w:r>
      <w:r w:rsidR="00C46E2B" w:rsidRPr="007C129D">
        <w:t xml:space="preserve">i Gminy </w:t>
      </w:r>
      <w:r w:rsidR="003F5C76" w:rsidRPr="007C129D">
        <w:t>wraz</w:t>
      </w:r>
      <w:r w:rsidR="00C46E2B" w:rsidRPr="007C129D">
        <w:t xml:space="preserve"> </w:t>
      </w:r>
      <w:r>
        <w:t>z </w:t>
      </w:r>
      <w:r w:rsidR="003F5C76" w:rsidRPr="007C129D">
        <w:t>usługami</w:t>
      </w:r>
      <w:r w:rsidR="009A2674">
        <w:t xml:space="preserve"> – 1 szt.</w:t>
      </w:r>
    </w:p>
    <w:p w14:paraId="54E8EA51" w14:textId="77777777" w:rsidR="006C24C1" w:rsidRPr="007C129D" w:rsidRDefault="006C24C1" w:rsidP="006C24C1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2F7900F2" w14:textId="534E6F42" w:rsidR="00C511A7" w:rsidRDefault="006C24C1" w:rsidP="00CE6A92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7C129D">
        <w:rPr>
          <w:rFonts w:asciiTheme="minorHAnsi" w:hAnsiTheme="minorHAnsi" w:cstheme="minorHAnsi"/>
          <w:b/>
          <w:bCs/>
          <w:sz w:val="20"/>
          <w:szCs w:val="20"/>
        </w:rPr>
        <w:t>Serwer</w:t>
      </w:r>
      <w:r w:rsidR="0027164F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C129D">
        <w:rPr>
          <w:rFonts w:asciiTheme="minorHAnsi" w:hAnsiTheme="minorHAnsi" w:cstheme="minorHAnsi"/>
          <w:b/>
          <w:bCs/>
          <w:sz w:val="20"/>
          <w:szCs w:val="20"/>
        </w:rPr>
        <w:t>typ 1</w:t>
      </w:r>
      <w:r w:rsidR="0027164F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 o poniższej charakterystyce:</w:t>
      </w:r>
    </w:p>
    <w:p w14:paraId="1F503F86" w14:textId="77777777" w:rsidR="003E285F" w:rsidRDefault="003E285F" w:rsidP="003E285F">
      <w:r>
        <w:t xml:space="preserve">Zamawiający dopuszcza składanie ofert równoważnych, spełniających wszystkie opisane poniżej wymagania minimalne. </w:t>
      </w:r>
    </w:p>
    <w:p w14:paraId="43BDBCBC" w14:textId="64A1C022" w:rsidR="003E285F" w:rsidRDefault="003E285F" w:rsidP="003E285F">
      <w:r>
        <w:t>Wszystkie oferowane komponenty muszą być fabrycznie nowe, nieużywane, nieodnawiane, pochodzące z legalnego kanału dystrybucji na rynek polski.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C46E2B" w:rsidRPr="007C129D" w14:paraId="161EA533" w14:textId="77777777" w:rsidTr="003E28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vAlign w:val="center"/>
            <w:hideMark/>
          </w:tcPr>
          <w:p w14:paraId="5061297D" w14:textId="77777777" w:rsidR="00C46E2B" w:rsidRPr="007C129D" w:rsidRDefault="00C46E2B" w:rsidP="00837CBE">
            <w:pPr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bookmarkStart w:id="0" w:name="_Hlk212099484"/>
            <w:r w:rsidRPr="007C129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  <w:vAlign w:val="center"/>
            <w:hideMark/>
          </w:tcPr>
          <w:p w14:paraId="3A8186D6" w14:textId="77777777" w:rsidR="00C46E2B" w:rsidRPr="007C129D" w:rsidRDefault="00C46E2B" w:rsidP="00837CBE">
            <w:pPr>
              <w:jc w:val="both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C129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</w:tr>
    </w:tbl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1985"/>
        <w:gridCol w:w="7655"/>
      </w:tblGrid>
      <w:tr w:rsidR="00A520F7" w14:paraId="107942CE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E7F7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Typ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obudowy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157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Obudowa serwerowa rack 19", wysokość maks. 1U (1 sztuka), lub równoważne. Przystosowana do pracy ciągłej w środowisku serwerowym. Obsługa montażu min. 8 dysków 2,5" SAS/SATA typu hot-plug (hot-</w:t>
            </w:r>
            <w:proofErr w:type="spellStart"/>
            <w:r w:rsidRPr="00A520F7">
              <w:t>swap</w:t>
            </w:r>
            <w:proofErr w:type="spellEnd"/>
            <w:r w:rsidRPr="00A520F7">
              <w:t>), lub równoważne.</w:t>
            </w:r>
          </w:p>
        </w:tc>
      </w:tr>
      <w:tr w:rsidR="00A520F7" w14:paraId="4462FF81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9767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Procesor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1799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Minimum 1 procesor klasy serwerowej, x86-64, min. 16 rdzeni fizycznych i 32 wątki, częstotliwość bazowa min. 2,8 GHz, pamięć cache L3 min. 37 MB, przeznaczony do pracy ciągłej w środowisku serwerowym i kompatybilny z systemem klasy Windows Server 2025 lub równoważnym.</w:t>
            </w:r>
          </w:p>
        </w:tc>
      </w:tr>
      <w:tr w:rsidR="00A520F7" w14:paraId="0D1B4939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D72D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r>
              <w:rPr>
                <w:lang w:val="en-US"/>
              </w:rPr>
              <w:t>Pamięć RAM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8E9F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Minimum 128 GB pamięci RAM typu DDR5 ECC RDIMM o przepustowości nie niższej niż 5200 MT/s (lub równoważnej). Pamięć musi być przeznaczona do pracy ciągłej w środowisku serwerowym i zapewniać korekcję błędów (ECC). Wymagana możliwość rozbudowy pamięci RAM do co najmniej 256 GB przy wykorzystaniu dostępnych slotów. Dopuszcza się dowolną konfigurację modułów pamięci spełniającą wymagania pojemności i typu.</w:t>
            </w:r>
          </w:p>
        </w:tc>
      </w:tr>
      <w:tr w:rsidR="00A520F7" w14:paraId="4BCF5CD1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2EA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bookmarkStart w:id="1" w:name="_GoBack"/>
            <w:proofErr w:type="spellStart"/>
            <w:r>
              <w:rPr>
                <w:lang w:val="en-US"/>
              </w:rPr>
              <w:t>Płyta</w:t>
            </w:r>
            <w:proofErr w:type="spellEnd"/>
            <w:r>
              <w:rPr>
                <w:lang w:val="en-US"/>
              </w:rPr>
              <w:t xml:space="preserve"> główna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897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 xml:space="preserve">Płyta główna serwera, przeznaczona do pracy w trybie ciągłym 24/7, kompatybilna z oferowanym procesorem i pamięcią DDR5 ECC RDIMM. Musi umożliwiać montaż co najmniej jednego procesora (w oferowanej konfiguracji 1 CPU) oraz obsługę pamięci RAM w ilości co najmniej 128 GB, z możliwością rozbudowy do co najmniej 256 GB. Płyta główna musi posiadać wsparcie dla modułu TPM 2.0 oraz umożliwiać aktualizację </w:t>
            </w:r>
            <w:proofErr w:type="spellStart"/>
            <w:r w:rsidRPr="00A520F7">
              <w:t>firmware</w:t>
            </w:r>
            <w:proofErr w:type="spellEnd"/>
            <w:r w:rsidRPr="00A520F7">
              <w:t>/BIOS.</w:t>
            </w:r>
          </w:p>
        </w:tc>
      </w:tr>
      <w:bookmarkEnd w:id="1"/>
      <w:tr w:rsidR="00A520F7" w14:paraId="03F2862B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8E19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Dyski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systemowe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5390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 xml:space="preserve">Minimum 2 dyski SSD w formacie 2,5 cala, przeznaczone do pracy ciągłej w środowisku serwerowym (klasa </w:t>
            </w:r>
            <w:proofErr w:type="spellStart"/>
            <w:r w:rsidRPr="00A520F7">
              <w:t>read-intensive</w:t>
            </w:r>
            <w:proofErr w:type="spellEnd"/>
            <w:r w:rsidRPr="00A520F7">
              <w:t xml:space="preserve"> lub równoważna), z interfejsem SATA o przepustowości nie mniejszej niż 6 </w:t>
            </w:r>
            <w:proofErr w:type="spellStart"/>
            <w:r w:rsidRPr="00A520F7">
              <w:t>Gb</w:t>
            </w:r>
            <w:proofErr w:type="spellEnd"/>
            <w:r w:rsidRPr="00A520F7">
              <w:t>/s lub równoważnym. Każdy z dysków musi posiadać pojemność nie mniejszą niż 480 GB. Wymagana obsługa S.M.A.R.T. oraz możliwość wymiany dysków podczas pracy (hot-plug/hot-</w:t>
            </w:r>
            <w:proofErr w:type="spellStart"/>
            <w:r w:rsidRPr="00A520F7">
              <w:t>swap</w:t>
            </w:r>
            <w:proofErr w:type="spellEnd"/>
            <w:r w:rsidRPr="00A520F7">
              <w:t>). Dyski muszą umożliwiać pracę w konfiguracji redundancji danych (RAID 1 lub równoważnej).</w:t>
            </w:r>
          </w:p>
        </w:tc>
      </w:tr>
      <w:tr w:rsidR="00A520F7" w14:paraId="1DF6F4D0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E4B5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Kieszenie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dyskowe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B95C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Obudowa serwera musi umożliwiać instalację dysków 2,5" typu hot-plug/hot-</w:t>
            </w:r>
            <w:proofErr w:type="spellStart"/>
            <w:r w:rsidRPr="00A520F7">
              <w:t>swap</w:t>
            </w:r>
            <w:proofErr w:type="spellEnd"/>
            <w:r w:rsidRPr="00A520F7">
              <w:t xml:space="preserve"> w liczbie co najmniej 8 szt. (maksymalnie 1U, zgodnie z obudową). Kieszenie muszą umożliwiać </w:t>
            </w:r>
            <w:proofErr w:type="spellStart"/>
            <w:r w:rsidRPr="00A520F7">
              <w:t>beznarzędziową</w:t>
            </w:r>
            <w:proofErr w:type="spellEnd"/>
            <w:r w:rsidRPr="00A520F7">
              <w:t xml:space="preserve"> wymianę dysków podczas pracy urządzenia oraz zapewniać prawidłową cyrkulację powietrza i trwałość mechaniczną. Zamawiający dopuszcza rozwiązania równoważne bez stosowania adapterów 2,5"</w:t>
            </w:r>
            <w:r w:rsidRPr="00A520F7">
              <w:rPr>
                <w:rFonts w:hint="eastAsia"/>
              </w:rPr>
              <w:t>→</w:t>
            </w:r>
            <w:r w:rsidRPr="00A520F7">
              <w:t>3,5", o ile spełniony jest wymóg liczby zatok i hot-</w:t>
            </w:r>
            <w:proofErr w:type="spellStart"/>
            <w:r w:rsidRPr="00A520F7">
              <w:t>swap</w:t>
            </w:r>
            <w:proofErr w:type="spellEnd"/>
            <w:r w:rsidRPr="00A520F7">
              <w:t>.</w:t>
            </w:r>
          </w:p>
        </w:tc>
      </w:tr>
      <w:tr w:rsidR="00A520F7" w14:paraId="10C02A2A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82BE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r>
              <w:rPr>
                <w:lang w:val="en-US"/>
              </w:rPr>
              <w:t>RAID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68D2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Kontroler sprzętowy RAID, kompatybilny z oferowaną platformą serwerową, obsługujący dyski SATA/SAS 2,5" montowane z przodu obudowy oraz umożliwiający konfigurację macierzy z poziomu BIOS/UEFI. Kontroler musi obsługiwać co najmniej poziomy RAID: 0, 1, 5, 6, 10. Wymagana pamięć cache kontrolera typu nieulotnego (NV) o pojemności co najmniej 4 GB lub równoważna technologia zabezpieczenia bufora zapisu. Wymagane dostarczenie kompletu okablowania/</w:t>
            </w:r>
            <w:proofErr w:type="spellStart"/>
            <w:r w:rsidRPr="00A520F7">
              <w:t>backplane</w:t>
            </w:r>
            <w:proofErr w:type="spellEnd"/>
            <w:r w:rsidRPr="00A520F7">
              <w:t xml:space="preserve"> niezbędnego do podłączenia zatok dyskowych w oferowanej obudowie.</w:t>
            </w:r>
          </w:p>
        </w:tc>
      </w:tr>
      <w:tr w:rsidR="00A520F7" w14:paraId="155591A4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9FC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r>
              <w:rPr>
                <w:lang w:val="en-US"/>
              </w:rPr>
              <w:t xml:space="preserve">Karta </w:t>
            </w:r>
            <w:proofErr w:type="spellStart"/>
            <w:r>
              <w:rPr>
                <w:lang w:val="en-US"/>
              </w:rPr>
              <w:t>Zarządzania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F263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 xml:space="preserve">Serwer musi być wyposażony w niezależny od systemu operacyjnego kontroler zdalnego zarządzania (BMC) z dedykowanym portem Ethernet. Wymagane funkcje: zdalna konsola (KVM), montowanie zdalnych nośników, zdalne monitorowanie podzespołów i zdarzeń sprzętowych oraz możliwość integracji z usługą katalogową (np. Active Directory) lub równoważną. Obsługiwane protokoły: co najmniej </w:t>
            </w:r>
            <w:proofErr w:type="spellStart"/>
            <w:r w:rsidRPr="00A520F7">
              <w:t>Redfish</w:t>
            </w:r>
            <w:proofErr w:type="spellEnd"/>
            <w:r w:rsidRPr="00A520F7">
              <w:t xml:space="preserve"> oraz SNMP/SSH/TLS lub równoważne.</w:t>
            </w:r>
          </w:p>
        </w:tc>
      </w:tr>
      <w:tr w:rsidR="00A520F7" w14:paraId="264E0686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F39C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Zasilanie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4F89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 xml:space="preserve">Serwer musi być wyposażony w redundantny system zasilania 1+1, składający się z dwóch modułów zasilających typu hot-plug, każdy o mocy nie mniejszej niż 1100 W. Zasilacze muszą posiadać certyfikację sprawności energetycznej co najmniej 80 PLUS </w:t>
            </w:r>
            <w:proofErr w:type="spellStart"/>
            <w:r w:rsidRPr="00A520F7">
              <w:t>Titanium</w:t>
            </w:r>
            <w:proofErr w:type="spellEnd"/>
            <w:r w:rsidRPr="00A520F7">
              <w:t xml:space="preserve"> (lub równoważną) oraz umożliwiać wymianę w trakcie pracy serwera. Serwer musi być dostarczony z kompletem przewodów zasilających odpowiednich do standardu stosowanego w Polsce.</w:t>
            </w:r>
          </w:p>
        </w:tc>
      </w:tr>
      <w:tr w:rsidR="00A520F7" w14:paraId="76569C86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0EA9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Chłodzenie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23E9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Serwer musi posiadać aktywny system chłodzenia przystosowany do pracy ciągłej 24/7. Wymagane jest zastosowanie co najmniej 5 modułów wentylatorów o standardowej wydajności lub równoważnych, z monitoringiem prędkości obrotowej oraz alarmowaniem awarii przez system BMC. Wymagana możliwość wymiany modułów wentylatorów zgodnie z rozwiązaniem producenta (hot-plug/hot-</w:t>
            </w:r>
            <w:proofErr w:type="spellStart"/>
            <w:r w:rsidRPr="00A520F7">
              <w:t>swap</w:t>
            </w:r>
            <w:proofErr w:type="spellEnd"/>
            <w:r w:rsidRPr="00A520F7">
              <w:t xml:space="preserve"> lub równoważnie).</w:t>
            </w:r>
          </w:p>
        </w:tc>
      </w:tr>
      <w:tr w:rsidR="00A520F7" w14:paraId="2F7A4E6C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BCAF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Interfejsy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sieciowe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718" w14:textId="77777777" w:rsidR="00A520F7" w:rsidRPr="00A520F7" w:rsidRDefault="00A520F7">
            <w:pPr>
              <w:spacing w:line="240" w:lineRule="auto"/>
              <w:rPr>
                <w:rFonts w:cstheme="minorBidi"/>
              </w:rPr>
            </w:pPr>
            <w:r w:rsidRPr="00A520F7">
              <w:t>Serwer musi być wyposażony w co najmniej:</w:t>
            </w:r>
            <w:r w:rsidRPr="00A520F7">
              <w:br/>
              <w:t xml:space="preserve">– 2 zintegrowane interfejsy sieciowe Ethernet RJ-45 o przepustowości 1 </w:t>
            </w:r>
            <w:proofErr w:type="spellStart"/>
            <w:r w:rsidRPr="00A520F7">
              <w:t>Gb</w:t>
            </w:r>
            <w:proofErr w:type="spellEnd"/>
            <w:r w:rsidRPr="00A520F7">
              <w:t>/s,</w:t>
            </w:r>
            <w:r w:rsidRPr="00A520F7">
              <w:br/>
              <w:t xml:space="preserve">– co najmniej 4 interfejsy sieciowe Ethernet o przepustowości co najmniej 10 </w:t>
            </w:r>
            <w:proofErr w:type="spellStart"/>
            <w:r w:rsidRPr="00A520F7">
              <w:t>Gb</w:t>
            </w:r>
            <w:proofErr w:type="spellEnd"/>
            <w:r w:rsidRPr="00A520F7">
              <w:t xml:space="preserve">/s w standardzie 10GBASE-T, zakończone złączem RJ-45 (okablowanie miedziane). Interfejsy muszą być realizowane przez kontroler klasy serwerowej (np. w standardzie OCP lub </w:t>
            </w:r>
            <w:proofErr w:type="spellStart"/>
            <w:r w:rsidRPr="00A520F7">
              <w:t>PCIe</w:t>
            </w:r>
            <w:proofErr w:type="spellEnd"/>
            <w:r w:rsidRPr="00A520F7">
              <w:t xml:space="preserve">) i umożliwiać pracę w środowisku serwerowym. </w:t>
            </w:r>
          </w:p>
          <w:p w14:paraId="7C038E62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- dedykowany port Ethernet dla funkcji zdalnego zarządzania (BMC).</w:t>
            </w:r>
          </w:p>
        </w:tc>
      </w:tr>
      <w:tr w:rsidR="00A520F7" w14:paraId="52B863B9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52CA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Bezpieczeństwo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C2CA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r w:rsidRPr="00A520F7">
              <w:t>Serwer musi być wyposażony w moduł TPM w wersji 2.0 lub równoważny. BIOS/UEFI musi wspierać funkcję bezpiecznego rozruchu (</w:t>
            </w:r>
            <w:proofErr w:type="spellStart"/>
            <w:r w:rsidRPr="00A520F7">
              <w:t>Secure</w:t>
            </w:r>
            <w:proofErr w:type="spellEnd"/>
            <w:r w:rsidRPr="00A520F7">
              <w:t xml:space="preserve"> </w:t>
            </w:r>
            <w:proofErr w:type="spellStart"/>
            <w:r w:rsidRPr="00A520F7">
              <w:t>Boot</w:t>
            </w:r>
            <w:proofErr w:type="spellEnd"/>
            <w:r w:rsidRPr="00A520F7">
              <w:t xml:space="preserve">) oraz możliwość konfiguracji haseł dostępu do ustawień systemowych. System zdalnego zarządzania (BMC) musi umożliwiać stosowanie ról/uprawnień administracyjnych oraz szyfrowane połączenia administracyjne (np. </w:t>
            </w:r>
            <w:r>
              <w:rPr>
                <w:lang w:val="en-US"/>
              </w:rPr>
              <w:t xml:space="preserve">TLS/HTTPS) </w:t>
            </w:r>
            <w:proofErr w:type="spellStart"/>
            <w:r>
              <w:rPr>
                <w:lang w:val="en-US"/>
              </w:rPr>
              <w:t>lub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równoważne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A520F7" w14:paraId="1F472C30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A4B7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Wymagania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dodatkowe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B5FA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Serwer musi być wyprodukowany zgodnie z systemem zarządzania jakością i środowiskowego u producenta (np. ISO 9001 oraz ISO 14001 lub równoważne). Serwer musi posiadać deklarację zgodności CE. Urządzenie powinno spełniać wymagania w zakresie postępowania z odpadami sprzętu elektrycznego i elektronicznego (WEEE) oraz ograniczenia substancji niebezpiecznych (</w:t>
            </w:r>
            <w:proofErr w:type="spellStart"/>
            <w:r w:rsidRPr="00A520F7">
              <w:t>RoHS</w:t>
            </w:r>
            <w:proofErr w:type="spellEnd"/>
            <w:r w:rsidRPr="00A520F7">
              <w:t>) lub równoważne.</w:t>
            </w:r>
          </w:p>
        </w:tc>
      </w:tr>
      <w:tr w:rsidR="00A520F7" w14:paraId="7074ED91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E45D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Gwarancja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7CBB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Serwer musi być objęty gwarancją producenta obejmującą części i robociznę, realizowaną w modelu serwisu na miejscu u Zamawiającego (on-</w:t>
            </w:r>
            <w:proofErr w:type="spellStart"/>
            <w:r w:rsidRPr="00A520F7">
              <w:t>site</w:t>
            </w:r>
            <w:proofErr w:type="spellEnd"/>
            <w:r w:rsidRPr="00A520F7">
              <w:t>) w następnym dniu roboczym (NBD) lub równoważnym, przez okres minimum 60 miesięcy. W okresie gwarancji musi być zapewniona możliwość zgłaszania awarii oraz uzyskania wsparcia serwisowego w dni robocze co najmniej w standardowych godzinach pracy, a realizacja naprawy lub wymiany nie może przekroczyć terminu wynikającego z warunków gwarancji dla modelu NBD (lub równoważnego). Dopuszcza się realizację gwarancji jako usługi podstawowej wraz z przedłużeniem, pod warunkiem zachowania łącznego okresu minimum 60 miesięcy i spójności zakresu świadczenia.</w:t>
            </w:r>
          </w:p>
        </w:tc>
      </w:tr>
      <w:tr w:rsidR="00A520F7" w14:paraId="4C07CB13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D97F" w14:textId="77777777" w:rsidR="00A520F7" w:rsidRDefault="00A520F7">
            <w:pPr>
              <w:spacing w:line="240" w:lineRule="auto"/>
              <w:rPr>
                <w:lang w:val="en-US" w:eastAsia="en-US"/>
              </w:rPr>
            </w:pPr>
            <w:r>
              <w:rPr>
                <w:lang w:val="en-US"/>
              </w:rPr>
              <w:t>Dokumentacja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C6DD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Zamawiający wymaga zapewnienia dostępu do dokumentacji technicznej oferowanego serwera (w języku polskim lub angielskim) w formie elektronicznej, w szczególności: instrukcji instalacji/uruchomienia, podręcznika administracyjnego oraz informacji o warunkach gwarancji. Dopuszcza się realizację wymogu poprzez udostępnienie dokumentacji na stronie producenta lub w portalu wsparcia technicznego producenta. Zamawiający nie wymaga dostarczenia dokumentacji w formie papierowej ani na nośniku.</w:t>
            </w:r>
          </w:p>
        </w:tc>
      </w:tr>
      <w:tr w:rsidR="00A520F7" w14:paraId="03E0A108" w14:textId="77777777" w:rsidTr="00A520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79FB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>Dodatkowa karta sieciowa do posiadanego serwera Zamawiającego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8979" w14:textId="77777777" w:rsidR="00A520F7" w:rsidRPr="00A520F7" w:rsidRDefault="00A520F7">
            <w:pPr>
              <w:spacing w:line="240" w:lineRule="auto"/>
              <w:rPr>
                <w:lang w:eastAsia="en-US"/>
              </w:rPr>
            </w:pPr>
            <w:r w:rsidRPr="00A520F7">
              <w:t xml:space="preserve">W ramach dostawy musi zostać dostarczona jedna dodatkowa karta/adapter sieciowy Ethernet klasy serwerowej, zapewniający co najmniej 4 porty 10GbE w standardzie 10GBASE-T zakończone złączem RJ-45 (okablowanie miedziane). Karta musi być przeznaczona do instalacji w slocie </w:t>
            </w:r>
            <w:proofErr w:type="spellStart"/>
            <w:r w:rsidRPr="00A520F7">
              <w:t>PCIe</w:t>
            </w:r>
            <w:proofErr w:type="spellEnd"/>
            <w:r w:rsidRPr="00A520F7">
              <w:t xml:space="preserve"> (lub równoważnym interfejsie rozbudowy) oraz musi być kompatybilna elektrycznie i mechanicznie z posiadanym przez Zamawiającego serwerem rack 2U: Dell </w:t>
            </w:r>
            <w:proofErr w:type="spellStart"/>
            <w:r w:rsidRPr="00A520F7">
              <w:t>PowerEdge</w:t>
            </w:r>
            <w:proofErr w:type="spellEnd"/>
            <w:r w:rsidRPr="00A520F7">
              <w:t xml:space="preserve"> R740xd, identyfikowanym numerem Service Tag: ST4HPBM73, a także wspierana przez producenta platformy serwerowej (zgodność potwierdzona w elektronicznej dokumentacji/wykazie kompatybilności producenta lub równoważnym źródle). Wykonawca musi dostarczyć potwierdzenie kompatybilności w postaci numeru katalogowego/identyfikatora części oraz wskazania źródła potwierdzenia w dokumentacji elektronicznej.</w:t>
            </w:r>
          </w:p>
        </w:tc>
      </w:tr>
      <w:bookmarkEnd w:id="0"/>
    </w:tbl>
    <w:p w14:paraId="660B1837" w14:textId="77777777" w:rsidR="00A520F7" w:rsidRDefault="00A520F7" w:rsidP="00A520F7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50966C6E" w14:textId="720C7FA7" w:rsidR="003F5C76" w:rsidRDefault="006C24C1" w:rsidP="00CE6A92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7C129D">
        <w:rPr>
          <w:rFonts w:asciiTheme="minorHAnsi" w:hAnsiTheme="minorHAnsi" w:cstheme="minorHAnsi"/>
          <w:b/>
          <w:bCs/>
          <w:sz w:val="20"/>
          <w:szCs w:val="20"/>
        </w:rPr>
        <w:t>Macierz</w:t>
      </w:r>
      <w:r w:rsidR="00472755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 o poniższej charakterystyce </w:t>
      </w:r>
      <w:r w:rsidRPr="007C129D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70AB55F2" w14:textId="77777777" w:rsidR="008D1A6D" w:rsidRDefault="008D1A6D" w:rsidP="001C0809">
      <w:pPr>
        <w:jc w:val="both"/>
      </w:pPr>
      <w:r>
        <w:t xml:space="preserve">Zamawiający dopuszcza składanie ofert równoważnych, spełniających wszystkie opisane poniżej wymagania minimalne. </w:t>
      </w:r>
    </w:p>
    <w:p w14:paraId="5827DF0F" w14:textId="780D1754" w:rsidR="008D1A6D" w:rsidRDefault="008D1A6D" w:rsidP="001C0809">
      <w:pPr>
        <w:jc w:val="both"/>
      </w:pPr>
      <w:r>
        <w:t>Wszystkie oferowane komponenty muszą być fabrycznie nowe, nieużywane, nieodnawiane, pochodzące z legalnego kanału dystrybucji na rynek polski.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7796"/>
      </w:tblGrid>
      <w:tr w:rsidR="00115155" w:rsidRPr="007C129D" w14:paraId="7F64604F" w14:textId="77777777" w:rsidTr="00F722DB">
        <w:trPr>
          <w:trHeight w:val="52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3A7E8C26" w14:textId="77777777" w:rsidR="00115155" w:rsidRPr="007C129D" w:rsidRDefault="00115155" w:rsidP="00837CBE">
            <w:pPr>
              <w:spacing w:after="0" w:line="256" w:lineRule="auto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C129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Element konfiguracji/cecha/funkcjonalność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23D36207" w14:textId="77777777" w:rsidR="00115155" w:rsidRPr="007C129D" w:rsidRDefault="00115155" w:rsidP="00837CBE">
            <w:pPr>
              <w:spacing w:after="0" w:line="256" w:lineRule="auto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C129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Wymagania minimalne</w:t>
            </w:r>
          </w:p>
        </w:tc>
      </w:tr>
    </w:tbl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1951"/>
        <w:gridCol w:w="7796"/>
      </w:tblGrid>
      <w:tr w:rsidR="00C747D2" w14:paraId="578C2E5B" w14:textId="77777777" w:rsidTr="00C747D2">
        <w:tc>
          <w:tcPr>
            <w:tcW w:w="1951" w:type="dxa"/>
          </w:tcPr>
          <w:p w14:paraId="5A09EBA2" w14:textId="77777777" w:rsidR="00C747D2" w:rsidRDefault="00C747D2" w:rsidP="007071DD">
            <w:r>
              <w:t>Obudowa</w:t>
            </w:r>
          </w:p>
        </w:tc>
        <w:tc>
          <w:tcPr>
            <w:tcW w:w="7796" w:type="dxa"/>
          </w:tcPr>
          <w:p w14:paraId="49A1998A" w14:textId="77777777" w:rsidR="00C747D2" w:rsidRDefault="00C747D2" w:rsidP="007071DD">
            <w:r w:rsidRPr="00D341F9">
              <w:t xml:space="preserve">Urządzenie musi być przeznaczone do montażu w szafie RACK 19” i mieć wysokość nie większą niż 2U. Obudowa </w:t>
            </w:r>
            <w:proofErr w:type="spellStart"/>
            <w:r w:rsidRPr="00D341F9">
              <w:t>mussmacie</w:t>
            </w:r>
            <w:proofErr w:type="spellEnd"/>
            <w:r w:rsidRPr="00D341F9">
              <w:t xml:space="preserve"> 3,5” (LFF) i umożliwiać instalację co najmniej 12 dysków LFF w obudowie podstawowej. W ramach dostawy muszą być zapewnione elementy umożliwiające montaż w RACK 19” (zestaw montażowy kompatybilny z oferowaną obudową lub równoważny).</w:t>
            </w:r>
          </w:p>
        </w:tc>
      </w:tr>
      <w:tr w:rsidR="00C747D2" w14:paraId="0CF00382" w14:textId="77777777" w:rsidTr="00C747D2">
        <w:tc>
          <w:tcPr>
            <w:tcW w:w="1951" w:type="dxa"/>
          </w:tcPr>
          <w:p w14:paraId="37DB3020" w14:textId="77777777" w:rsidR="00C747D2" w:rsidRDefault="00C747D2" w:rsidP="007071DD">
            <w:r>
              <w:t>Zasilanie</w:t>
            </w:r>
          </w:p>
        </w:tc>
        <w:tc>
          <w:tcPr>
            <w:tcW w:w="7796" w:type="dxa"/>
          </w:tcPr>
          <w:p w14:paraId="6ED21802" w14:textId="77777777" w:rsidR="00C747D2" w:rsidRDefault="00C747D2" w:rsidP="007071DD">
            <w:r w:rsidRPr="00D341F9">
              <w:t>Urządzenie musi posiadać redundantny system zasilania realizowany przez dwa niezależne moduły zasilające pracujące równolegle (awaria jednego modułu nie powoduje zatrzymania pracy systemu). Moduły zasilające muszą być wymienialne w trakcie pracy urządzenia (hot-</w:t>
            </w:r>
            <w:proofErr w:type="spellStart"/>
            <w:r w:rsidRPr="00D341F9">
              <w:t>swap</w:t>
            </w:r>
            <w:proofErr w:type="spellEnd"/>
            <w:r w:rsidRPr="00D341F9">
              <w:t xml:space="preserve"> lub równoważne). Zasilanie musi być realizowane z sieci 230V AC. W ramach dostawy musi być zapewniony komplet przewodów zasilających adekwatny do liczby modułów zasilających (co najmniej 2 szt.).</w:t>
            </w:r>
          </w:p>
        </w:tc>
      </w:tr>
      <w:tr w:rsidR="00C747D2" w14:paraId="1437508D" w14:textId="77777777" w:rsidTr="00C747D2">
        <w:tc>
          <w:tcPr>
            <w:tcW w:w="1951" w:type="dxa"/>
          </w:tcPr>
          <w:p w14:paraId="6EC35296" w14:textId="77777777" w:rsidR="00C747D2" w:rsidRDefault="00C747D2" w:rsidP="007071DD">
            <w:r>
              <w:t>Kontrolery</w:t>
            </w:r>
          </w:p>
        </w:tc>
        <w:tc>
          <w:tcPr>
            <w:tcW w:w="7796" w:type="dxa"/>
          </w:tcPr>
          <w:p w14:paraId="564445D1" w14:textId="77777777" w:rsidR="00C747D2" w:rsidRDefault="00C747D2" w:rsidP="007071DD">
            <w:r w:rsidRPr="00D341F9">
              <w:t>Macierz musi być wyposażona w dwa kontrolery zapewniające wysoką dostępność usług pamięci masowej. Kontrolery muszą pracować w trybie zapewniającym ciągłość dostępu do danych w przypadku awarii jednego kontrolera (</w:t>
            </w:r>
            <w:proofErr w:type="spellStart"/>
            <w:r w:rsidRPr="00D341F9">
              <w:t>active-active</w:t>
            </w:r>
            <w:proofErr w:type="spellEnd"/>
            <w:r w:rsidRPr="00D341F9">
              <w:t xml:space="preserve"> lub rozwiązanie równoważne). System musi umożliwiać bezprzerwową pracę w scenariuszach awarii pojedynczego elementu związanego z kontrolerem, bez utraty konfiguracji i prezentacji wolumenów.</w:t>
            </w:r>
          </w:p>
        </w:tc>
      </w:tr>
      <w:tr w:rsidR="00C747D2" w:rsidRPr="00FD6912" w14:paraId="0EF940F6" w14:textId="77777777" w:rsidTr="00C747D2">
        <w:tc>
          <w:tcPr>
            <w:tcW w:w="1951" w:type="dxa"/>
          </w:tcPr>
          <w:p w14:paraId="2919DABC" w14:textId="77777777" w:rsidR="00C747D2" w:rsidRDefault="00C747D2" w:rsidP="007071DD">
            <w:r w:rsidRPr="00FD6912">
              <w:t xml:space="preserve">Interfejsy hosta – </w:t>
            </w:r>
            <w:proofErr w:type="spellStart"/>
            <w:r w:rsidRPr="00FD6912">
              <w:t>iSCSI</w:t>
            </w:r>
            <w:proofErr w:type="spellEnd"/>
            <w:r w:rsidRPr="00FD6912">
              <w:t xml:space="preserve"> 10Gb/s (RJ-45)</w:t>
            </w:r>
          </w:p>
        </w:tc>
        <w:tc>
          <w:tcPr>
            <w:tcW w:w="7796" w:type="dxa"/>
          </w:tcPr>
          <w:p w14:paraId="5FE929E6" w14:textId="77777777" w:rsidR="00C747D2" w:rsidRPr="00FD6912" w:rsidRDefault="00C747D2" w:rsidP="007071DD">
            <w:r w:rsidRPr="00D341F9">
              <w:t xml:space="preserve">Macierz musi udostępniać interfejsy </w:t>
            </w:r>
            <w:proofErr w:type="spellStart"/>
            <w:r w:rsidRPr="00D341F9">
              <w:t>iSCSI</w:t>
            </w:r>
            <w:proofErr w:type="spellEnd"/>
            <w:r w:rsidRPr="00D341F9">
              <w:t xml:space="preserve"> o przepustowości 10Gb/s w standardzie 10GBASE-T (RJ-45). Łączna liczba portów hosta </w:t>
            </w:r>
            <w:proofErr w:type="spellStart"/>
            <w:r w:rsidRPr="00D341F9">
              <w:t>iSCSI</w:t>
            </w:r>
            <w:proofErr w:type="spellEnd"/>
            <w:r w:rsidRPr="00D341F9">
              <w:t xml:space="preserve"> 10Gb/s RJ-45 musi wynosić co najmniej 8 sztuk dostępnych dla połączeń z infrastrukturą serwerową i sieciową. Porty te muszą być dostępne natywnie na kontrolerach lub w równoważny sposób wynikający z konstrukcji oferowanego systemu.</w:t>
            </w:r>
          </w:p>
        </w:tc>
      </w:tr>
      <w:tr w:rsidR="00C747D2" w14:paraId="35D1602A" w14:textId="77777777" w:rsidTr="00C747D2">
        <w:tc>
          <w:tcPr>
            <w:tcW w:w="1951" w:type="dxa"/>
          </w:tcPr>
          <w:p w14:paraId="0B3DE022" w14:textId="77777777" w:rsidR="00C747D2" w:rsidRDefault="00C747D2" w:rsidP="007071DD">
            <w:r>
              <w:t>Dyski</w:t>
            </w:r>
          </w:p>
        </w:tc>
        <w:tc>
          <w:tcPr>
            <w:tcW w:w="7796" w:type="dxa"/>
          </w:tcPr>
          <w:p w14:paraId="5FCC25C2" w14:textId="76D80F16" w:rsidR="00C747D2" w:rsidRDefault="00C747D2" w:rsidP="007071DD">
            <w:r w:rsidRPr="00D341F9">
              <w:t>Macierz musi zostać dostarczona z nośnikami</w:t>
            </w:r>
            <w:r w:rsidR="00F05A8C">
              <w:t xml:space="preserve"> SATA,</w:t>
            </w:r>
            <w:r w:rsidRPr="00D341F9">
              <w:t xml:space="preserve"> SAS o przepustowości interfejsu co najmniej 12Gb/s w formacie LFF 3,5”. W ramach dostawy wymagane jest zapewnienie co najmniej </w:t>
            </w:r>
            <w:r>
              <w:t>6</w:t>
            </w:r>
            <w:r w:rsidRPr="00D341F9">
              <w:t xml:space="preserve"> dysków HDD o pojemności minimum 8 TB każdy i prędkości obrotowej minimum 7 200 RPM. Wszystkie nośniki muszą być przystosowane do pracy ciągłej 24/7 lub równoważnie, a ich parametry muszą być zgodne z wymaganiami minimalnymi.</w:t>
            </w:r>
          </w:p>
        </w:tc>
      </w:tr>
      <w:tr w:rsidR="00C747D2" w:rsidRPr="00F37A37" w14:paraId="27423DE4" w14:textId="77777777" w:rsidTr="00C747D2">
        <w:tc>
          <w:tcPr>
            <w:tcW w:w="1951" w:type="dxa"/>
          </w:tcPr>
          <w:p w14:paraId="3C62F92F" w14:textId="77777777" w:rsidR="00C747D2" w:rsidRDefault="00C747D2" w:rsidP="007071DD">
            <w:r w:rsidRPr="00FD6912">
              <w:t>Hot-</w:t>
            </w:r>
            <w:proofErr w:type="spellStart"/>
            <w:r w:rsidRPr="00FD6912">
              <w:t>swap</w:t>
            </w:r>
            <w:proofErr w:type="spellEnd"/>
            <w:r w:rsidRPr="00FD6912">
              <w:t xml:space="preserve"> nośników</w:t>
            </w:r>
          </w:p>
        </w:tc>
        <w:tc>
          <w:tcPr>
            <w:tcW w:w="7796" w:type="dxa"/>
          </w:tcPr>
          <w:p w14:paraId="3BFE5651" w14:textId="77777777" w:rsidR="00C747D2" w:rsidRPr="00F37A37" w:rsidRDefault="00C747D2" w:rsidP="007071DD">
            <w:r w:rsidRPr="007A021E">
              <w:t>Kieszenie dyskowe macierzy muszą umożliwiać wymianę dysków podczas pracy systemu bez konieczności wyłączania urządzenia (hot-</w:t>
            </w:r>
            <w:proofErr w:type="spellStart"/>
            <w:r w:rsidRPr="007A021E">
              <w:t>swap</w:t>
            </w:r>
            <w:proofErr w:type="spellEnd"/>
            <w:r w:rsidRPr="007A021E">
              <w:t xml:space="preserve"> lub równoważne). Mechanizm wymiany musi pozwalać na bezpieczne wyjęcie i włożenie dysku bez naruszania pracy pozostałych elementów systemu. </w:t>
            </w:r>
            <w:proofErr w:type="spellStart"/>
            <w:r w:rsidRPr="007A021E">
              <w:t>Funkcjonaljmować</w:t>
            </w:r>
            <w:proofErr w:type="spellEnd"/>
            <w:r w:rsidRPr="007A021E">
              <w:t xml:space="preserve"> wszystkie nośniki przewidziane do pracy w tej macierzy (HDD oraz SSD, jeżeli zostaną zastosowane).</w:t>
            </w:r>
          </w:p>
        </w:tc>
      </w:tr>
      <w:tr w:rsidR="00C747D2" w14:paraId="55407B06" w14:textId="77777777" w:rsidTr="00C747D2">
        <w:tc>
          <w:tcPr>
            <w:tcW w:w="1951" w:type="dxa"/>
          </w:tcPr>
          <w:p w14:paraId="334D0CDA" w14:textId="77777777" w:rsidR="00C747D2" w:rsidRDefault="00C747D2" w:rsidP="007071DD">
            <w:r w:rsidRPr="00FD6912">
              <w:t>RAID i ochrona danych</w:t>
            </w:r>
          </w:p>
        </w:tc>
        <w:tc>
          <w:tcPr>
            <w:tcW w:w="7796" w:type="dxa"/>
          </w:tcPr>
          <w:p w14:paraId="2DF2C370" w14:textId="77777777" w:rsidR="00C747D2" w:rsidRDefault="00C747D2" w:rsidP="007071DD">
            <w:r w:rsidRPr="007A021E">
              <w:t xml:space="preserve">Macierz musi zapewniać obsługę poziomów ochrony danych realizowanych natywnie w macierzy, bez wymogu stosowania zewnętrznych mechanizmów RAID po stronie serwerów. System musi obsługiwać co najmniej poziomy RAID: 1, 5, 6, 10 oraz mechanizmy równoważne (np. </w:t>
            </w:r>
            <w:proofErr w:type="spellStart"/>
            <w:r w:rsidRPr="007A021E">
              <w:t>erasure</w:t>
            </w:r>
            <w:proofErr w:type="spellEnd"/>
            <w:r w:rsidRPr="007A021E">
              <w:t xml:space="preserve"> </w:t>
            </w:r>
            <w:proofErr w:type="spellStart"/>
            <w:r w:rsidRPr="007A021E">
              <w:t>coding</w:t>
            </w:r>
            <w:proofErr w:type="spellEnd"/>
            <w:r w:rsidRPr="007A021E">
              <w:t>/ADAPT lub równoważne). System musi umożliwiać utworzenie wolumenów z ochroną tolerującą jednoczesną awarię co najmniej dwóch dysków (RAID 6 lub równoważne).</w:t>
            </w:r>
          </w:p>
        </w:tc>
      </w:tr>
      <w:tr w:rsidR="00C747D2" w:rsidRPr="00FD6912" w14:paraId="1F9C574B" w14:textId="77777777" w:rsidTr="00C747D2">
        <w:tc>
          <w:tcPr>
            <w:tcW w:w="1951" w:type="dxa"/>
          </w:tcPr>
          <w:p w14:paraId="25BC7F21" w14:textId="77777777" w:rsidR="00C747D2" w:rsidRPr="00FD6912" w:rsidRDefault="00C747D2" w:rsidP="007071DD">
            <w:r w:rsidRPr="00FD6912">
              <w:t>Hot-</w:t>
            </w:r>
            <w:proofErr w:type="spellStart"/>
            <w:r w:rsidRPr="00FD6912">
              <w:t>spare</w:t>
            </w:r>
            <w:proofErr w:type="spellEnd"/>
          </w:p>
        </w:tc>
        <w:tc>
          <w:tcPr>
            <w:tcW w:w="7796" w:type="dxa"/>
          </w:tcPr>
          <w:p w14:paraId="4B65E8AF" w14:textId="77777777" w:rsidR="00C747D2" w:rsidRPr="00FD6912" w:rsidRDefault="00C747D2" w:rsidP="007071DD">
            <w:r w:rsidRPr="007A021E">
              <w:t>Macierz musi wspierać mechanizm automatycznego odtwarzania redundancji po awarii dysku poprzez zastosowanie dysków zapasowych (hot-</w:t>
            </w:r>
            <w:proofErr w:type="spellStart"/>
            <w:r w:rsidRPr="007A021E">
              <w:t>spare</w:t>
            </w:r>
            <w:proofErr w:type="spellEnd"/>
            <w:r w:rsidRPr="007A021E">
              <w:t xml:space="preserve"> globalny lub dedykowany, albo równoważny mechanizm automatycznego zapewnienia pojemności zapasowej, w tym mechanizm rozproszonej pojemności zapasowej w technologiach </w:t>
            </w:r>
            <w:proofErr w:type="spellStart"/>
            <w:r w:rsidRPr="007A021E">
              <w:t>erasure</w:t>
            </w:r>
            <w:proofErr w:type="spellEnd"/>
            <w:r w:rsidRPr="007A021E">
              <w:t xml:space="preserve"> </w:t>
            </w:r>
            <w:proofErr w:type="spellStart"/>
            <w:r w:rsidRPr="007A021E">
              <w:t>coding</w:t>
            </w:r>
            <w:proofErr w:type="spellEnd"/>
            <w:r w:rsidRPr="007A021E">
              <w:t>). Mechanizm musi uruchamiać odbudowę automatycznie po wykryciu awarii dysku w grupie ochrony danych.</w:t>
            </w:r>
          </w:p>
        </w:tc>
      </w:tr>
      <w:tr w:rsidR="00C747D2" w:rsidRPr="00FD6912" w14:paraId="369E9985" w14:textId="77777777" w:rsidTr="00C747D2">
        <w:tc>
          <w:tcPr>
            <w:tcW w:w="1951" w:type="dxa"/>
          </w:tcPr>
          <w:p w14:paraId="4BCDAA4B" w14:textId="77777777" w:rsidR="00C747D2" w:rsidRPr="00FD6912" w:rsidRDefault="00C747D2" w:rsidP="007071DD">
            <w:r w:rsidRPr="00FD6912">
              <w:t>Pamięć podręczna i ochrona cache</w:t>
            </w:r>
          </w:p>
        </w:tc>
        <w:tc>
          <w:tcPr>
            <w:tcW w:w="7796" w:type="dxa"/>
          </w:tcPr>
          <w:p w14:paraId="2C0AD51E" w14:textId="77777777" w:rsidR="00C747D2" w:rsidRPr="00FD6912" w:rsidRDefault="00C747D2" w:rsidP="007071DD">
            <w:r w:rsidRPr="007A021E">
              <w:t>Macierz musi posiadać pamięć cache realizowaną w sposób redundantny pomiędzy kontrolerami (mirror cache lub równoważne). Cache musi obejmować buforowanie operacji odczytu i zapisu zgodnie z funkcjonalnością oferowanego systemu. Cache musi być zabezpieczona przed utratą danych w przypadku zaniku zasilania poprzez mechanizm nieulotny lub równoważny, tak aby zapisane, nieutrwalone dane nie uległy utracie.</w:t>
            </w:r>
          </w:p>
        </w:tc>
      </w:tr>
      <w:tr w:rsidR="00C747D2" w:rsidRPr="00FD67F4" w14:paraId="50FACD2D" w14:textId="77777777" w:rsidTr="00C747D2">
        <w:tc>
          <w:tcPr>
            <w:tcW w:w="1951" w:type="dxa"/>
          </w:tcPr>
          <w:p w14:paraId="7D7450F0" w14:textId="77777777" w:rsidR="00C747D2" w:rsidRPr="00553D85" w:rsidRDefault="00C747D2" w:rsidP="007071DD">
            <w:r w:rsidRPr="00FD6912">
              <w:t>Zarządzanie – interfejs administracyjny</w:t>
            </w:r>
          </w:p>
        </w:tc>
        <w:tc>
          <w:tcPr>
            <w:tcW w:w="7796" w:type="dxa"/>
          </w:tcPr>
          <w:p w14:paraId="72520E48" w14:textId="77777777" w:rsidR="00C747D2" w:rsidRPr="00FD67F4" w:rsidRDefault="00C747D2" w:rsidP="007071DD">
            <w:r w:rsidRPr="007A021E">
              <w:t xml:space="preserve">Macierz musi udostępniać graficzny interfejs zarządzania (GUI) umożliwiający pełną administrację zasobami urządzenia. Z poziomu narzędzia zarządzania musi być możliwa konfiguracja co najmniej: dysków/puli, poziomów ochrony danych, wolumenów, mapowania wolumenów do hostów oraz konfiguracji portów </w:t>
            </w:r>
            <w:proofErr w:type="spellStart"/>
            <w:r w:rsidRPr="007A021E">
              <w:t>iSCSI</w:t>
            </w:r>
            <w:proofErr w:type="spellEnd"/>
            <w:r w:rsidRPr="007A021E">
              <w:t>. Dostęp do narzędzia administracyjnego musi być realizowany przez bezpieczny protokół (HTTPS lub równoważne). System musi udostępniać także interfejs wiersza poleceń (CLI lub równoważny) do administracji.</w:t>
            </w:r>
          </w:p>
        </w:tc>
      </w:tr>
      <w:tr w:rsidR="00C747D2" w:rsidRPr="00FD6912" w14:paraId="4825B361" w14:textId="77777777" w:rsidTr="00C747D2">
        <w:tc>
          <w:tcPr>
            <w:tcW w:w="1951" w:type="dxa"/>
          </w:tcPr>
          <w:p w14:paraId="409E1C47" w14:textId="77777777" w:rsidR="00C747D2" w:rsidRPr="00FD6912" w:rsidRDefault="00C747D2" w:rsidP="007071DD">
            <w:r w:rsidRPr="00FD6912">
              <w:t>Konta i uprawnienia administracyjne</w:t>
            </w:r>
          </w:p>
        </w:tc>
        <w:tc>
          <w:tcPr>
            <w:tcW w:w="7796" w:type="dxa"/>
          </w:tcPr>
          <w:p w14:paraId="0CAF9CF9" w14:textId="77777777" w:rsidR="00C747D2" w:rsidRPr="00FD6912" w:rsidRDefault="00C747D2" w:rsidP="007071DD">
            <w:r w:rsidRPr="00183338">
              <w:t>System zarządzania macierzą musi umożliwiać tworzenie kont użytkowników oraz nadawanie uprawnień zgodnie z rolami (RBAC lub równoważne). System musi zapewniać co najmniej rozdzielenie uprawnień na rolę administracyjną oraz rolę o ograniczonych uprawnieniach operacyjnych. Mechanizm uprawnień musi ograniczać dostęp do krytycznych funkcji administracyjnych wyłącznie do użytkowników z odpowiednimi uprawnieniami. Weryfikacja spełnienia wymogu musi być możliwa poprzez prezentację konfiguracji użytkowników/</w:t>
            </w:r>
            <w:proofErr w:type="spellStart"/>
            <w:r w:rsidRPr="00183338">
              <w:t>rol</w:t>
            </w:r>
            <w:proofErr w:type="spellEnd"/>
            <w:r w:rsidRPr="00183338">
              <w:t xml:space="preserve"> w interfejsie zarządzania (GUI/CLI) oraz odniesienie do dokumentacji producenta dostępnej elektronicznie.</w:t>
            </w:r>
          </w:p>
        </w:tc>
      </w:tr>
      <w:tr w:rsidR="00C747D2" w:rsidRPr="00FD6912" w14:paraId="7E0FCC98" w14:textId="77777777" w:rsidTr="00C747D2">
        <w:tc>
          <w:tcPr>
            <w:tcW w:w="1951" w:type="dxa"/>
          </w:tcPr>
          <w:p w14:paraId="695F6F8B" w14:textId="77777777" w:rsidR="00C747D2" w:rsidRPr="00FD6912" w:rsidRDefault="00C747D2" w:rsidP="007071DD">
            <w:r w:rsidRPr="00FD6912">
              <w:t>Integracje i powiadomienia</w:t>
            </w:r>
          </w:p>
        </w:tc>
        <w:tc>
          <w:tcPr>
            <w:tcW w:w="7796" w:type="dxa"/>
          </w:tcPr>
          <w:p w14:paraId="0D472980" w14:textId="77777777" w:rsidR="00C747D2" w:rsidRPr="00FD6912" w:rsidRDefault="00C747D2" w:rsidP="007071DD">
            <w:r w:rsidRPr="00183338">
              <w:t>Macierz musi umożliwiać integrację z systemami monitoringu poprzez SNMP (v2c i/lub v3) lub równoważny standard. Macierz musi umożliwiać wysyłkę powiadomień o zdarzeniach/alertów co najmniej poprzez e-mail (SMTP lub równoważne) oraz SNMP trap (lub równoważne). Macierz musi umożliwiać synchronizację czasu z serwerem czasu w oparciu o NTP (lub równoważne), w celu zapewnienia spójności logów i zdarzeń. Konfiguracja SNMP, e-mail oraz NTP musi być dostępna z poziomu interfejsu zarządzania (GUI/CLI).</w:t>
            </w:r>
          </w:p>
        </w:tc>
      </w:tr>
      <w:tr w:rsidR="00C747D2" w:rsidRPr="00F37A37" w14:paraId="4F5BCD8F" w14:textId="77777777" w:rsidTr="00C747D2">
        <w:tc>
          <w:tcPr>
            <w:tcW w:w="1951" w:type="dxa"/>
          </w:tcPr>
          <w:p w14:paraId="3F28CCCB" w14:textId="77777777" w:rsidR="00C747D2" w:rsidRDefault="00C747D2" w:rsidP="007071DD">
            <w:r w:rsidRPr="00F37A37">
              <w:t>Monitorowanie i historia parametrów</w:t>
            </w:r>
          </w:p>
        </w:tc>
        <w:tc>
          <w:tcPr>
            <w:tcW w:w="7796" w:type="dxa"/>
          </w:tcPr>
          <w:p w14:paraId="1B455F0A" w14:textId="77777777" w:rsidR="00C747D2" w:rsidRPr="00F37A37" w:rsidRDefault="00C747D2" w:rsidP="007071DD">
            <w:r w:rsidRPr="00183338">
              <w:t>System zarządzania macierzą musi umożliwiać monitorowanie stanu technicznego macierzy, w tym co najmniej: dysków, kontrolerów, zasilania, chłodzenia oraz portów komunikacyjnych. Muszą być dostępne informacje o wykorzystaniu przestrzeni oraz podstawowe parametry wydajnościowe, obejmujące co najmniej: IOPS, przepustowość (</w:t>
            </w:r>
            <w:proofErr w:type="spellStart"/>
            <w:r w:rsidRPr="00183338">
              <w:t>throughput</w:t>
            </w:r>
            <w:proofErr w:type="spellEnd"/>
            <w:r w:rsidRPr="00183338">
              <w:t>) oraz opóźnienia/latencję (lub równoważne miary dostarczane przez oferowany system). Narzędzie zarządzania musi prezentować alarmy i zdarzenia w sposób umożliwiający szybką identyfikację przyczyny i komponentu, którego dotyczy problem.</w:t>
            </w:r>
          </w:p>
        </w:tc>
      </w:tr>
      <w:tr w:rsidR="00C747D2" w:rsidRPr="00F37A37" w14:paraId="7A9FB99C" w14:textId="77777777" w:rsidTr="00C747D2">
        <w:tc>
          <w:tcPr>
            <w:tcW w:w="1951" w:type="dxa"/>
          </w:tcPr>
          <w:p w14:paraId="0FE9D95E" w14:textId="77777777" w:rsidR="00C747D2" w:rsidRPr="00F37A37" w:rsidRDefault="00C747D2" w:rsidP="007071DD">
            <w:proofErr w:type="spellStart"/>
            <w:r w:rsidRPr="00E73D56">
              <w:t>Multipathing</w:t>
            </w:r>
            <w:proofErr w:type="spellEnd"/>
          </w:p>
        </w:tc>
        <w:tc>
          <w:tcPr>
            <w:tcW w:w="7796" w:type="dxa"/>
          </w:tcPr>
          <w:p w14:paraId="1944ACA3" w14:textId="77777777" w:rsidR="00C747D2" w:rsidRPr="00F37A37" w:rsidRDefault="00C747D2" w:rsidP="007071DD">
            <w:r w:rsidRPr="00183338">
              <w:t xml:space="preserve">Macierz musi wspierać wielościeżkowy dostęp do danych w celu zapewnienia ciągłości komunikacji host–macierz w przypadku awarii łącza, portu lub kontrolera. Funkcjonalność ta musi być możliwa do wykorzystania w środowiskach </w:t>
            </w:r>
            <w:proofErr w:type="spellStart"/>
            <w:r w:rsidRPr="00183338">
              <w:t>iSCSI</w:t>
            </w:r>
            <w:proofErr w:type="spellEnd"/>
            <w:r w:rsidRPr="00183338">
              <w:t xml:space="preserve"> z użyciem mechanizmu MPIO (lub równoważnego) po stronie hosta oraz mechanizmu prezentacji ścieżek zgodnego z architekturą redundantnych kontrolerów (np. ALUA lub równoważne). Rozwiązanie musi umożliwiać pracę z wieloma ścieżkami do wolumenów bez przerywania dostępu do danych w przypadku awarii pojedynczego elementu ścieżki.</w:t>
            </w:r>
          </w:p>
        </w:tc>
      </w:tr>
      <w:tr w:rsidR="00C747D2" w:rsidRPr="00FD6912" w14:paraId="58A98153" w14:textId="77777777" w:rsidTr="00C747D2">
        <w:tc>
          <w:tcPr>
            <w:tcW w:w="1951" w:type="dxa"/>
          </w:tcPr>
          <w:p w14:paraId="5CA0920D" w14:textId="77777777" w:rsidR="00C747D2" w:rsidRPr="00E73D56" w:rsidRDefault="00C747D2" w:rsidP="007071DD">
            <w:proofErr w:type="spellStart"/>
            <w:r w:rsidRPr="00FD6912">
              <w:t>Thin</w:t>
            </w:r>
            <w:proofErr w:type="spellEnd"/>
            <w:r w:rsidRPr="00FD6912">
              <w:t xml:space="preserve"> </w:t>
            </w:r>
            <w:proofErr w:type="spellStart"/>
            <w:r w:rsidRPr="00FD6912">
              <w:t>provisioning</w:t>
            </w:r>
            <w:proofErr w:type="spellEnd"/>
          </w:p>
        </w:tc>
        <w:tc>
          <w:tcPr>
            <w:tcW w:w="7796" w:type="dxa"/>
          </w:tcPr>
          <w:p w14:paraId="170FEAA5" w14:textId="77777777" w:rsidR="00C747D2" w:rsidRPr="00FD6912" w:rsidRDefault="00C747D2" w:rsidP="007071DD">
            <w:r w:rsidRPr="00183338">
              <w:t xml:space="preserve">Macierz musi umożliwiać przydzielanie przestrzeni logicznej w sposób elastyczny, tj. </w:t>
            </w:r>
            <w:proofErr w:type="spellStart"/>
            <w:r w:rsidRPr="00183338">
              <w:t>thin</w:t>
            </w:r>
            <w:proofErr w:type="spellEnd"/>
            <w:r w:rsidRPr="00183338">
              <w:t xml:space="preserve"> </w:t>
            </w:r>
            <w:proofErr w:type="spellStart"/>
            <w:r w:rsidRPr="00183338">
              <w:t>provisioning</w:t>
            </w:r>
            <w:proofErr w:type="spellEnd"/>
            <w:r w:rsidRPr="00183338">
              <w:t xml:space="preserve"> lub równoważne. Funkcja musi pozwalać na tworzenie wolumenów o rozmiarze logicznym niezależnym od bieżąco zajętej fizycznej przestrzeni, z zachowaniem mechanizmów kontroli pojemności. Zarządzanie </w:t>
            </w:r>
            <w:proofErr w:type="spellStart"/>
            <w:r w:rsidRPr="00183338">
              <w:t>thin</w:t>
            </w:r>
            <w:proofErr w:type="spellEnd"/>
            <w:r w:rsidRPr="00183338">
              <w:t xml:space="preserve"> </w:t>
            </w:r>
            <w:proofErr w:type="spellStart"/>
            <w:r w:rsidRPr="00183338">
              <w:t>provisioning</w:t>
            </w:r>
            <w:proofErr w:type="spellEnd"/>
            <w:r w:rsidRPr="00183338">
              <w:t xml:space="preserve"> (lub równoważnym mechanizmem) musi być dostępne z poziomu interfejsu administracyjnego macierzy (GUI/CLI).</w:t>
            </w:r>
          </w:p>
        </w:tc>
      </w:tr>
      <w:tr w:rsidR="00C747D2" w:rsidRPr="00FD6912" w14:paraId="5DF7E126" w14:textId="77777777" w:rsidTr="00C747D2">
        <w:tc>
          <w:tcPr>
            <w:tcW w:w="1951" w:type="dxa"/>
          </w:tcPr>
          <w:p w14:paraId="79D32EA1" w14:textId="77777777" w:rsidR="00C747D2" w:rsidRPr="00E73D56" w:rsidRDefault="00C747D2" w:rsidP="007071DD">
            <w:proofErr w:type="spellStart"/>
            <w:r w:rsidRPr="00FD6912">
              <w:t>Snapshoty</w:t>
            </w:r>
            <w:proofErr w:type="spellEnd"/>
          </w:p>
        </w:tc>
        <w:tc>
          <w:tcPr>
            <w:tcW w:w="7796" w:type="dxa"/>
          </w:tcPr>
          <w:p w14:paraId="35B0E2C1" w14:textId="77777777" w:rsidR="00C747D2" w:rsidRPr="00FD6912" w:rsidRDefault="00C747D2" w:rsidP="007071DD">
            <w:r w:rsidRPr="00024B31">
              <w:t>Macierz musi umożliwiać tworzenie i zarządzanie migawkami (</w:t>
            </w:r>
            <w:proofErr w:type="spellStart"/>
            <w:r w:rsidRPr="00024B31">
              <w:t>snapshotami</w:t>
            </w:r>
            <w:proofErr w:type="spellEnd"/>
            <w:r w:rsidRPr="00024B31">
              <w:t xml:space="preserve">) wolumenów/LUN w sposób natywny, bez przerywania dostępu do danych. System musi umożliwiać co najmniej: utworzenie migawki, listowanie migawek, usunięcie migawki oraz przywrócenie wolumenu ze wskazanej migawki. Funkcjonalność </w:t>
            </w:r>
            <w:proofErr w:type="spellStart"/>
            <w:r w:rsidRPr="00024B31">
              <w:t>snapshotów</w:t>
            </w:r>
            <w:proofErr w:type="spellEnd"/>
            <w:r w:rsidRPr="00024B31">
              <w:t xml:space="preserve"> musi być dostępna do użycia w dostarczonej konfiguracji, bez konieczności dokupowania dodatkowych licencji lub modułów po odbiorze.</w:t>
            </w:r>
          </w:p>
        </w:tc>
      </w:tr>
      <w:tr w:rsidR="00C747D2" w:rsidRPr="00FD6912" w14:paraId="0DDC3E9D" w14:textId="77777777" w:rsidTr="00C747D2">
        <w:tc>
          <w:tcPr>
            <w:tcW w:w="1951" w:type="dxa"/>
          </w:tcPr>
          <w:p w14:paraId="0985633F" w14:textId="77777777" w:rsidR="00C747D2" w:rsidRPr="00E73D56" w:rsidRDefault="00C747D2" w:rsidP="007071DD">
            <w:r w:rsidRPr="00FD6912">
              <w:t>Klonowanie i kopiowanie wolumenów</w:t>
            </w:r>
          </w:p>
        </w:tc>
        <w:tc>
          <w:tcPr>
            <w:tcW w:w="7796" w:type="dxa"/>
          </w:tcPr>
          <w:p w14:paraId="5D3D25B3" w14:textId="77777777" w:rsidR="00C747D2" w:rsidRPr="00FD6912" w:rsidRDefault="00C747D2" w:rsidP="007071DD">
            <w:r w:rsidRPr="00024B31">
              <w:t xml:space="preserve">Macierz musi umożliwiać wykonywanie kopii/klonów wolumenów oraz kopiowanie danych pomiędzy wolumenami w ramach systemu macierzy (funkcja typu </w:t>
            </w:r>
            <w:proofErr w:type="spellStart"/>
            <w:r w:rsidRPr="00024B31">
              <w:t>volume</w:t>
            </w:r>
            <w:proofErr w:type="spellEnd"/>
            <w:r w:rsidRPr="00024B31">
              <w:t xml:space="preserve"> </w:t>
            </w:r>
            <w:proofErr w:type="spellStart"/>
            <w:r w:rsidRPr="00024B31">
              <w:t>copy</w:t>
            </w:r>
            <w:proofErr w:type="spellEnd"/>
            <w:r w:rsidRPr="00024B31">
              <w:t>/clone lub równoważna). Funkcja musi być realizowana natywnie przez macierz i dostępna z poziomu narzędzi administracyjnych (GUI/CLI). Funkcjonalność klonowania/kopiowania wolumenów musi być dostępna do użycia w dostarczonej konfiguracji, bez konieczności dokupowania dodatkowych licencji lub modułów po odbiorze.</w:t>
            </w:r>
          </w:p>
        </w:tc>
      </w:tr>
      <w:tr w:rsidR="00C747D2" w:rsidRPr="00E73D56" w14:paraId="3A0E298C" w14:textId="77777777" w:rsidTr="00C747D2">
        <w:tc>
          <w:tcPr>
            <w:tcW w:w="1951" w:type="dxa"/>
          </w:tcPr>
          <w:p w14:paraId="555AC6CE" w14:textId="77777777" w:rsidR="00C747D2" w:rsidRPr="00E73D56" w:rsidRDefault="00C747D2" w:rsidP="007071DD">
            <w:r w:rsidRPr="00FD6912">
              <w:t>Replikacja w ramach funkcji usług danych</w:t>
            </w:r>
          </w:p>
        </w:tc>
        <w:tc>
          <w:tcPr>
            <w:tcW w:w="7796" w:type="dxa"/>
          </w:tcPr>
          <w:p w14:paraId="1689A867" w14:textId="77777777" w:rsidR="00C747D2" w:rsidRPr="00E73D56" w:rsidRDefault="00C747D2" w:rsidP="007071DD">
            <w:r w:rsidRPr="00024B31">
              <w:t>Macierz musi zapewniać funkcjonalność replikacji wolumenów realizowaną natywnie przez macierz (replikacja lub rozwiązanie równoważne), zarządzaną z poziomu GUI/CLI. Funkcjonalność replikacji musi być dostępna do użycia w dostarczonej konfiguracji, bez konieczności dokupowania dodatkowych licencji lub modułów po odbiorze. Realizacja replikacji wymaga posiadania systemu docelowego oraz zestawienia łączności pomiędzy systemami.</w:t>
            </w:r>
          </w:p>
        </w:tc>
      </w:tr>
      <w:tr w:rsidR="00C747D2" w:rsidRPr="00E73D56" w14:paraId="6558566C" w14:textId="77777777" w:rsidTr="00C747D2">
        <w:tc>
          <w:tcPr>
            <w:tcW w:w="1951" w:type="dxa"/>
          </w:tcPr>
          <w:p w14:paraId="4C5CA731" w14:textId="77777777" w:rsidR="00C747D2" w:rsidRPr="00E73D56" w:rsidRDefault="00C747D2" w:rsidP="007071DD">
            <w:r w:rsidRPr="00FD6912">
              <w:t>Licencje funkcjonalne ujęte w dostawie</w:t>
            </w:r>
          </w:p>
        </w:tc>
        <w:tc>
          <w:tcPr>
            <w:tcW w:w="7796" w:type="dxa"/>
          </w:tcPr>
          <w:p w14:paraId="1986D9A5" w14:textId="77777777" w:rsidR="00C747D2" w:rsidRPr="00E73D56" w:rsidRDefault="00C747D2" w:rsidP="007071DD">
            <w:r w:rsidRPr="00024B31">
              <w:t xml:space="preserve">W ramach dostawy musi być zapewniona kompletność funkcjonalna oferowanej macierzy, tj. funkcje: </w:t>
            </w:r>
            <w:proofErr w:type="spellStart"/>
            <w:r w:rsidRPr="00024B31">
              <w:t>snapshoty</w:t>
            </w:r>
            <w:proofErr w:type="spellEnd"/>
            <w:r w:rsidRPr="00024B31">
              <w:t>, klonowanie/kopiowanie wolumenów oraz replikacja muszą być dostępne do użycia w dostarczonej konfiguracji bez konieczności dokupowania dodatkowych licencji, subskrypcji lub modułów po odbiorze.</w:t>
            </w:r>
          </w:p>
        </w:tc>
      </w:tr>
      <w:tr w:rsidR="00C747D2" w:rsidRPr="00E73D56" w14:paraId="7792C5D3" w14:textId="77777777" w:rsidTr="00C747D2">
        <w:tc>
          <w:tcPr>
            <w:tcW w:w="1951" w:type="dxa"/>
          </w:tcPr>
          <w:p w14:paraId="08F85204" w14:textId="77777777" w:rsidR="00C747D2" w:rsidRPr="00E73D56" w:rsidRDefault="00C747D2" w:rsidP="007071DD">
            <w:r w:rsidRPr="00FD6912">
              <w:t>Serwis i wsparcie</w:t>
            </w:r>
          </w:p>
        </w:tc>
        <w:tc>
          <w:tcPr>
            <w:tcW w:w="7796" w:type="dxa"/>
          </w:tcPr>
          <w:p w14:paraId="396F22B1" w14:textId="77777777" w:rsidR="00C747D2" w:rsidRPr="00E73D56" w:rsidRDefault="00C747D2" w:rsidP="007071DD">
            <w:r w:rsidRPr="00024B31">
              <w:t>Dla oferowanej macierzy musi być zapewnione wsparcie serwisowe na okres co najmniej 60 miesięcy w trybie naprawy w miejscu instalacji (on-</w:t>
            </w:r>
            <w:proofErr w:type="spellStart"/>
            <w:r w:rsidRPr="00024B31">
              <w:t>site</w:t>
            </w:r>
            <w:proofErr w:type="spellEnd"/>
            <w:r w:rsidRPr="00024B31">
              <w:t>) z czasem reakcji nie dłuższym niż następny dzień roboczy (NBD), zgodnie z warunkami pakietu serwisowego ujętego w ofercie.</w:t>
            </w:r>
          </w:p>
        </w:tc>
      </w:tr>
      <w:tr w:rsidR="00C747D2" w:rsidRPr="00E73D56" w14:paraId="6BA99DAD" w14:textId="77777777" w:rsidTr="00C747D2">
        <w:tc>
          <w:tcPr>
            <w:tcW w:w="1951" w:type="dxa"/>
          </w:tcPr>
          <w:p w14:paraId="54BC3493" w14:textId="77777777" w:rsidR="00C747D2" w:rsidRPr="00E73D56" w:rsidRDefault="00C747D2" w:rsidP="007071DD">
            <w:r w:rsidRPr="00DD6C85">
              <w:t>Kompletność dostawy</w:t>
            </w:r>
          </w:p>
        </w:tc>
        <w:tc>
          <w:tcPr>
            <w:tcW w:w="7796" w:type="dxa"/>
          </w:tcPr>
          <w:p w14:paraId="5339CE3B" w14:textId="77777777" w:rsidR="00C747D2" w:rsidRPr="00E73D56" w:rsidRDefault="00C747D2" w:rsidP="007071DD">
            <w:r w:rsidRPr="00024B31">
              <w:t>W ramach dostawy musi zostać dostarczona kompletna macierz w konfiguracji zgodnej z ofertą. Kompletność oznacza, że wszystkie elementy niezbędne do prawidłowej pracy urządzenia w zakresie sprzętowym są dostarczone wraz z macierzą, w tym co najmniej: elementy zasilania, komplet przewodów zasilających adekwatny do liczby zasilaczy oraz elementy umożliwiające instalację w szafie RACK 19” (szyny/prowadnice montażowe kompatybilne z oferowaną obudową lub równoważne). Dostawa musi obejmować również wszystkie licencje i uprawnienia do korzystania z funkcji wymaganych w OPZ dla tej konfiguracji.</w:t>
            </w:r>
          </w:p>
        </w:tc>
      </w:tr>
      <w:tr w:rsidR="00C747D2" w:rsidRPr="00DD6C85" w14:paraId="03021C78" w14:textId="77777777" w:rsidTr="00C747D2">
        <w:tc>
          <w:tcPr>
            <w:tcW w:w="1951" w:type="dxa"/>
          </w:tcPr>
          <w:p w14:paraId="6512D36E" w14:textId="77777777" w:rsidR="00C747D2" w:rsidRPr="00DD6C85" w:rsidRDefault="00C747D2" w:rsidP="007071DD">
            <w:r w:rsidRPr="00A54D8A">
              <w:t>Identyfikowalność i wsparcie producenta</w:t>
            </w:r>
          </w:p>
        </w:tc>
        <w:tc>
          <w:tcPr>
            <w:tcW w:w="7796" w:type="dxa"/>
          </w:tcPr>
          <w:p w14:paraId="1E461E38" w14:textId="77777777" w:rsidR="00C747D2" w:rsidRPr="00DD6C85" w:rsidRDefault="00C747D2" w:rsidP="007071DD">
            <w:r w:rsidRPr="00B06592">
              <w:t>Dostarczone urządzenie musi posiadać identyfikatory umożliwiające jednoznaczną identyfikację w procesie serwisowym (co najmniej numer seryjny). Identyfikatory muszą umożliwiać realizację zgłoszeń serwisowych oraz weryfikację uprawnień serwisowych w elektronicznym systemie wsparcia producenta lub równoważnego usługodawcy, bez wymogu obiegu dokumentów papierowych.</w:t>
            </w:r>
          </w:p>
        </w:tc>
      </w:tr>
    </w:tbl>
    <w:p w14:paraId="36A95B9B" w14:textId="77777777" w:rsidR="001C0809" w:rsidRPr="001C0809" w:rsidRDefault="001C0809" w:rsidP="001C0809">
      <w:pPr>
        <w:pStyle w:val="Nagwek2"/>
        <w:rPr>
          <w:color w:val="auto"/>
          <w:sz w:val="20"/>
          <w:szCs w:val="20"/>
        </w:rPr>
      </w:pPr>
      <w:r w:rsidRPr="001C0809">
        <w:rPr>
          <w:color w:val="auto"/>
          <w:sz w:val="20"/>
          <w:szCs w:val="20"/>
        </w:rPr>
        <w:t>Dokumentacja i aktualizacje w formie elektronicznej</w:t>
      </w:r>
    </w:p>
    <w:p w14:paraId="1A2C0FE5" w14:textId="69CB8701" w:rsidR="001C0809" w:rsidRPr="001C0809" w:rsidRDefault="001C0809" w:rsidP="001C0809">
      <w:pPr>
        <w:jc w:val="both"/>
        <w:rPr>
          <w:sz w:val="20"/>
          <w:szCs w:val="20"/>
        </w:rPr>
      </w:pPr>
      <w:r w:rsidRPr="001C0809">
        <w:rPr>
          <w:sz w:val="20"/>
          <w:szCs w:val="20"/>
        </w:rPr>
        <w:t>Dokumentacja administratora oraz instrukcje serwisowe/eksploatacyjne muszą być dostępne w formie elektronicznej (portal wsparcia, dokumenty PDF lub rozwiązanie równ</w:t>
      </w:r>
      <w:r>
        <w:rPr>
          <w:sz w:val="20"/>
          <w:szCs w:val="20"/>
        </w:rPr>
        <w:t>oważne). Dostęp do informacji o </w:t>
      </w:r>
      <w:r w:rsidRPr="001C0809">
        <w:rPr>
          <w:sz w:val="20"/>
          <w:szCs w:val="20"/>
        </w:rPr>
        <w:t>aktualizacjach oprogramowania wbudowanego (</w:t>
      </w:r>
      <w:proofErr w:type="spellStart"/>
      <w:r w:rsidRPr="001C0809">
        <w:rPr>
          <w:sz w:val="20"/>
          <w:szCs w:val="20"/>
        </w:rPr>
        <w:t>firmware</w:t>
      </w:r>
      <w:proofErr w:type="spellEnd"/>
      <w:r w:rsidRPr="001C0809">
        <w:rPr>
          <w:sz w:val="20"/>
          <w:szCs w:val="20"/>
        </w:rPr>
        <w:t>) oraz rekomendowanych procedur utrzymaniowych musi być zapewniony w tej samej formie elektronicznej. Dokumentacja i materia</w:t>
      </w:r>
      <w:r>
        <w:rPr>
          <w:sz w:val="20"/>
          <w:szCs w:val="20"/>
        </w:rPr>
        <w:t>ły wsparcia mają być dostępne w </w:t>
      </w:r>
      <w:r w:rsidRPr="001C0809">
        <w:rPr>
          <w:sz w:val="20"/>
          <w:szCs w:val="20"/>
        </w:rPr>
        <w:t>sposób umożliwiający korzystanie bez wymagania nośników fizycznych</w:t>
      </w:r>
      <w:r w:rsidR="0025098C">
        <w:rPr>
          <w:sz w:val="20"/>
          <w:szCs w:val="20"/>
        </w:rPr>
        <w:t xml:space="preserve"> ani wydruków</w:t>
      </w:r>
      <w:r w:rsidRPr="001C0809">
        <w:rPr>
          <w:sz w:val="20"/>
          <w:szCs w:val="20"/>
        </w:rPr>
        <w:t>.</w:t>
      </w:r>
    </w:p>
    <w:p w14:paraId="276A7BB7" w14:textId="77777777" w:rsidR="001C0809" w:rsidRPr="001C0809" w:rsidRDefault="001C0809" w:rsidP="001C0809">
      <w:pPr>
        <w:pStyle w:val="Nagwek2"/>
        <w:rPr>
          <w:color w:val="auto"/>
          <w:sz w:val="20"/>
          <w:szCs w:val="20"/>
        </w:rPr>
      </w:pPr>
      <w:r w:rsidRPr="001C0809">
        <w:rPr>
          <w:color w:val="auto"/>
          <w:sz w:val="20"/>
          <w:szCs w:val="20"/>
        </w:rPr>
        <w:t>Zakres zamówienia i odbiór</w:t>
      </w:r>
    </w:p>
    <w:p w14:paraId="6D69B2F0" w14:textId="6F991757" w:rsidR="001C0809" w:rsidRPr="007C129D" w:rsidRDefault="001C0809" w:rsidP="00AD1A38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0809">
        <w:rPr>
          <w:sz w:val="20"/>
          <w:szCs w:val="20"/>
        </w:rPr>
        <w:t>Przedmiotem zamówienia jest dostawa macierzy dyskowej w konfi</w:t>
      </w:r>
      <w:r>
        <w:rPr>
          <w:sz w:val="20"/>
          <w:szCs w:val="20"/>
        </w:rPr>
        <w:t>guracji zgodnej z ofertą wraz z licencjami i </w:t>
      </w:r>
      <w:r w:rsidRPr="001C0809">
        <w:rPr>
          <w:sz w:val="20"/>
          <w:szCs w:val="20"/>
        </w:rPr>
        <w:t>usługą serwisową.</w:t>
      </w:r>
      <w:r w:rsidR="00BE0DD1">
        <w:rPr>
          <w:sz w:val="20"/>
          <w:szCs w:val="20"/>
        </w:rPr>
        <w:t xml:space="preserve"> </w:t>
      </w:r>
      <w:r w:rsidR="00BE0DD1" w:rsidRPr="00BE0DD1">
        <w:rPr>
          <w:sz w:val="20"/>
          <w:szCs w:val="20"/>
        </w:rPr>
        <w:t>Odbiór obejmuje wyłącznie weryfikację kompletności dostawy i zgodności dostarczonych elementów z ofertą.</w:t>
      </w:r>
    </w:p>
    <w:p w14:paraId="72B1BABF" w14:textId="19429528" w:rsidR="00696D32" w:rsidRPr="007C129D" w:rsidRDefault="00BF5C31" w:rsidP="00BF5C31">
      <w:pPr>
        <w:pStyle w:val="Nagwek3"/>
      </w:pPr>
      <w:r>
        <w:t xml:space="preserve">6.1.2. </w:t>
      </w:r>
      <w:r w:rsidR="002A547F">
        <w:t>S</w:t>
      </w:r>
      <w:r w:rsidR="00696D32" w:rsidRPr="007C129D">
        <w:t>erwer</w:t>
      </w:r>
      <w:r w:rsidR="006A7552" w:rsidRPr="007C129D">
        <w:t>y</w:t>
      </w:r>
      <w:r w:rsidR="00696D32" w:rsidRPr="007C129D">
        <w:t xml:space="preserve"> typ </w:t>
      </w:r>
      <w:r w:rsidR="006A7552" w:rsidRPr="007C129D">
        <w:t xml:space="preserve">2 </w:t>
      </w:r>
      <w:r w:rsidR="00696D32" w:rsidRPr="007C129D">
        <w:t xml:space="preserve">dla </w:t>
      </w:r>
      <w:r w:rsidR="006A7552" w:rsidRPr="007C129D">
        <w:t>jednostek podległych</w:t>
      </w:r>
      <w:r w:rsidR="00696D32" w:rsidRPr="007C129D">
        <w:t xml:space="preserve"> wraz</w:t>
      </w:r>
      <w:r w:rsidR="006A7552" w:rsidRPr="007C129D">
        <w:t xml:space="preserve"> </w:t>
      </w:r>
      <w:r w:rsidR="00696D32" w:rsidRPr="007C129D">
        <w:t>z usługami</w:t>
      </w:r>
      <w:r w:rsidR="009A2674">
        <w:t xml:space="preserve"> – </w:t>
      </w:r>
      <w:r w:rsidR="002A547F">
        <w:t>3</w:t>
      </w:r>
      <w:r w:rsidR="009A2674">
        <w:t xml:space="preserve"> szt.</w:t>
      </w:r>
    </w:p>
    <w:p w14:paraId="3C3F23EF" w14:textId="77777777" w:rsidR="00E971C5" w:rsidRPr="007C129D" w:rsidRDefault="00E971C5" w:rsidP="00E971C5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3C5FA998" w14:textId="2F72D926" w:rsidR="00E971C5" w:rsidRPr="007C129D" w:rsidRDefault="00FB553B" w:rsidP="00837CBE">
      <w:pPr>
        <w:pStyle w:val="Akapitzlis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hAnsiTheme="minorHAnsi" w:cstheme="minorHAnsi"/>
          <w:sz w:val="20"/>
          <w:szCs w:val="20"/>
        </w:rPr>
        <w:t>S</w:t>
      </w:r>
      <w:r w:rsidR="00E971C5" w:rsidRPr="007C129D">
        <w:rPr>
          <w:rFonts w:asciiTheme="minorHAnsi" w:hAnsiTheme="minorHAnsi" w:cstheme="minorHAnsi"/>
          <w:sz w:val="20"/>
          <w:szCs w:val="20"/>
        </w:rPr>
        <w:t xml:space="preserve">erwery muszą zostać dostarczone w </w:t>
      </w:r>
      <w:r w:rsidR="002A547F">
        <w:rPr>
          <w:rFonts w:asciiTheme="minorHAnsi" w:hAnsiTheme="minorHAnsi" w:cstheme="minorHAnsi"/>
          <w:sz w:val="20"/>
          <w:szCs w:val="20"/>
        </w:rPr>
        <w:t>trzech</w:t>
      </w:r>
      <w:r w:rsidRPr="007C129D">
        <w:rPr>
          <w:rFonts w:asciiTheme="minorHAnsi" w:hAnsiTheme="minorHAnsi" w:cstheme="minorHAnsi"/>
          <w:sz w:val="20"/>
          <w:szCs w:val="20"/>
        </w:rPr>
        <w:t xml:space="preserve"> jednostkach podległych Zamawiającego (</w:t>
      </w:r>
      <w:r w:rsidR="002A547F">
        <w:rPr>
          <w:rFonts w:asciiTheme="minorHAnsi" w:hAnsiTheme="minorHAnsi" w:cstheme="minorHAnsi"/>
          <w:sz w:val="20"/>
          <w:szCs w:val="20"/>
        </w:rPr>
        <w:t xml:space="preserve">CUW, </w:t>
      </w:r>
      <w:r w:rsidRPr="007C129D">
        <w:rPr>
          <w:rFonts w:asciiTheme="minorHAnsi" w:hAnsiTheme="minorHAnsi" w:cstheme="minorHAnsi"/>
          <w:sz w:val="20"/>
          <w:szCs w:val="20"/>
        </w:rPr>
        <w:t>OPS oraz DPS)</w:t>
      </w:r>
      <w:r w:rsidR="00911223" w:rsidRPr="007C129D">
        <w:rPr>
          <w:rFonts w:asciiTheme="minorHAnsi" w:hAnsiTheme="minorHAnsi" w:cstheme="minorHAnsi"/>
          <w:sz w:val="20"/>
          <w:szCs w:val="20"/>
        </w:rPr>
        <w:t>,</w:t>
      </w:r>
    </w:p>
    <w:p w14:paraId="27563364" w14:textId="222235DA" w:rsidR="00696D32" w:rsidRDefault="00A94D90" w:rsidP="00A94D90">
      <w:pPr>
        <w:pStyle w:val="Akapitzlist"/>
        <w:ind w:left="360"/>
        <w:jc w:val="both"/>
      </w:pPr>
      <w:r>
        <w:t>Zamawiający dopuszcza składanie ofert równoważnych, spełniających wszystkie opisane poniżej wymagania minimalne. Wszystkie oferowane komponenty muszą być fabrycznie nowe, nieużywane, nieodnawiane, pochodzić z legalnego kanału dystrybucji na rynek polski oraz być dopuszczone do obrotu na terenie UE (jeżeli dotyczy). Wymagania należy rozumieć jako minimalne; dopuszcza się rozwiązania o parametrach wyższych, o ile zapewniona jest kompatybilność funkcjonalna z oferowaną konfiguracją.</w:t>
      </w:r>
    </w:p>
    <w:p w14:paraId="25E408E1" w14:textId="77777777" w:rsidR="00A94D90" w:rsidRPr="007C129D" w:rsidRDefault="00A94D90" w:rsidP="00696D32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48F325AB" w14:textId="19E5EE22" w:rsidR="00E74139" w:rsidRPr="007C129D" w:rsidRDefault="003E6672" w:rsidP="00CE6A92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Trzy</w:t>
      </w:r>
      <w:r w:rsidR="00E971C5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 s</w:t>
      </w:r>
      <w:r w:rsidR="00696D32" w:rsidRPr="007C129D">
        <w:rPr>
          <w:rFonts w:asciiTheme="minorHAnsi" w:hAnsiTheme="minorHAnsi" w:cstheme="minorHAnsi"/>
          <w:b/>
          <w:bCs/>
          <w:sz w:val="20"/>
          <w:szCs w:val="20"/>
        </w:rPr>
        <w:t>erwer</w:t>
      </w:r>
      <w:r w:rsidR="00E971C5" w:rsidRPr="007C129D">
        <w:rPr>
          <w:rFonts w:asciiTheme="minorHAnsi" w:hAnsiTheme="minorHAnsi" w:cstheme="minorHAnsi"/>
          <w:b/>
          <w:bCs/>
          <w:sz w:val="20"/>
          <w:szCs w:val="20"/>
        </w:rPr>
        <w:t>y</w:t>
      </w:r>
      <w:r w:rsidR="00696D32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 typ </w:t>
      </w:r>
      <w:r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96D32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 o poniższej charakterystyce:</w:t>
      </w:r>
    </w:p>
    <w:tbl>
      <w:tblPr>
        <w:tblStyle w:val="Tabela-Siatka1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7796"/>
      </w:tblGrid>
      <w:tr w:rsidR="00E74139" w:rsidRPr="007C129D" w14:paraId="61819932" w14:textId="77777777" w:rsidTr="003E6672">
        <w:trPr>
          <w:trHeight w:val="425"/>
        </w:trPr>
        <w:tc>
          <w:tcPr>
            <w:tcW w:w="1985" w:type="dxa"/>
            <w:shd w:val="clear" w:color="auto" w:fill="000000" w:themeFill="text1"/>
            <w:noWrap/>
            <w:vAlign w:val="center"/>
          </w:tcPr>
          <w:p w14:paraId="32F8F261" w14:textId="77777777" w:rsidR="00E74139" w:rsidRPr="007C129D" w:rsidRDefault="00E74139" w:rsidP="00A2795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C129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7796" w:type="dxa"/>
            <w:shd w:val="clear" w:color="auto" w:fill="000000" w:themeFill="text1"/>
            <w:noWrap/>
            <w:vAlign w:val="center"/>
          </w:tcPr>
          <w:p w14:paraId="1377443D" w14:textId="77777777" w:rsidR="00E74139" w:rsidRPr="007C129D" w:rsidRDefault="00E74139" w:rsidP="00A2795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C129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</w:tr>
    </w:tbl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F61D42" w:rsidRPr="00684DAA" w14:paraId="4EA8C6ED" w14:textId="77777777" w:rsidTr="00F61D42">
        <w:tc>
          <w:tcPr>
            <w:tcW w:w="1985" w:type="dxa"/>
          </w:tcPr>
          <w:p w14:paraId="687A18AD" w14:textId="77777777" w:rsidR="00F61D42" w:rsidRPr="00684DAA" w:rsidRDefault="00F61D42" w:rsidP="007071DD">
            <w:r w:rsidRPr="00684DAA">
              <w:t>Typ obudowy</w:t>
            </w:r>
          </w:p>
        </w:tc>
        <w:tc>
          <w:tcPr>
            <w:tcW w:w="7796" w:type="dxa"/>
          </w:tcPr>
          <w:p w14:paraId="2F11885B" w14:textId="77777777" w:rsidR="00F61D42" w:rsidRPr="00684DAA" w:rsidRDefault="00F61D42" w:rsidP="007071DD">
            <w:r w:rsidRPr="00684DAA">
              <w:t xml:space="preserve">Obudowa typu </w:t>
            </w:r>
            <w:proofErr w:type="spellStart"/>
            <w:r w:rsidRPr="00684DAA">
              <w:t>tower</w:t>
            </w:r>
            <w:proofErr w:type="spellEnd"/>
            <w:r w:rsidRPr="00684DAA">
              <w:t xml:space="preserve">, przystosowana do pracy ciągłej w środowisku biurowym/serwerowym (24/7) lub równoważna. Konstrukcja niskoszumowa, zapewniająca właściwą wentylację podzespołów oraz możliwość serwisowania i wymiany podstawowych komponentów zgodnie z rozwiązaniem producenta (narzędziowo lub </w:t>
            </w:r>
            <w:proofErr w:type="spellStart"/>
            <w:r w:rsidRPr="00684DAA">
              <w:t>beznarzędziowo</w:t>
            </w:r>
            <w:proofErr w:type="spellEnd"/>
            <w:r w:rsidRPr="00684DAA">
              <w:t>).</w:t>
            </w:r>
          </w:p>
        </w:tc>
      </w:tr>
      <w:tr w:rsidR="00F61D42" w:rsidRPr="00684DAA" w14:paraId="0F712AE5" w14:textId="77777777" w:rsidTr="00F61D42">
        <w:tc>
          <w:tcPr>
            <w:tcW w:w="1985" w:type="dxa"/>
          </w:tcPr>
          <w:p w14:paraId="3BE450F5" w14:textId="77777777" w:rsidR="00F61D42" w:rsidRPr="00684DAA" w:rsidRDefault="00F61D42" w:rsidP="007071DD">
            <w:r w:rsidRPr="00684DAA">
              <w:t>Płyta główna</w:t>
            </w:r>
          </w:p>
        </w:tc>
        <w:tc>
          <w:tcPr>
            <w:tcW w:w="7796" w:type="dxa"/>
          </w:tcPr>
          <w:p w14:paraId="41029F32" w14:textId="77777777" w:rsidR="00F61D42" w:rsidRPr="00684DAA" w:rsidRDefault="00F61D42" w:rsidP="007071DD">
            <w:r w:rsidRPr="00684DAA">
              <w:t>Płyta główna przeznaczona do serwerów, kompatybilna z oferowanym procesorem oraz pamięcią (DDR4/DDR5 ECC – zgodnie z oferowaną konfiguracją). Musi zapewniać co najmniej:</w:t>
            </w:r>
          </w:p>
          <w:p w14:paraId="1CA212FD" w14:textId="77777777" w:rsidR="00F61D42" w:rsidRPr="00684DAA" w:rsidRDefault="00F61D42" w:rsidP="00F61D42">
            <w:pPr>
              <w:numPr>
                <w:ilvl w:val="0"/>
                <w:numId w:val="85"/>
              </w:numPr>
              <w:spacing w:line="240" w:lineRule="auto"/>
            </w:pPr>
            <w:r w:rsidRPr="00684DAA">
              <w:t>minimum 2 złącza PCI Express do rozbudowy,</w:t>
            </w:r>
          </w:p>
          <w:p w14:paraId="10BF34E0" w14:textId="77777777" w:rsidR="00F61D42" w:rsidRPr="00684DAA" w:rsidRDefault="00F61D42" w:rsidP="00F61D42">
            <w:pPr>
              <w:numPr>
                <w:ilvl w:val="0"/>
                <w:numId w:val="85"/>
              </w:numPr>
              <w:spacing w:line="240" w:lineRule="auto"/>
            </w:pPr>
            <w:r w:rsidRPr="00684DAA">
              <w:t>obsługę pamięci z korekcją błędów (ECC),</w:t>
            </w:r>
          </w:p>
          <w:p w14:paraId="125C3B5C" w14:textId="77777777" w:rsidR="00F61D42" w:rsidRPr="00684DAA" w:rsidRDefault="00F61D42" w:rsidP="00F61D42">
            <w:pPr>
              <w:numPr>
                <w:ilvl w:val="0"/>
                <w:numId w:val="85"/>
              </w:numPr>
              <w:spacing w:line="240" w:lineRule="auto"/>
            </w:pPr>
            <w:r w:rsidRPr="00684DAA">
              <w:t>wsparcie dla modułu TPM 2.0 lub równoważnego,</w:t>
            </w:r>
          </w:p>
          <w:p w14:paraId="775E04EC" w14:textId="77777777" w:rsidR="00F61D42" w:rsidRPr="00684DAA" w:rsidRDefault="00F61D42" w:rsidP="00F61D42">
            <w:pPr>
              <w:numPr>
                <w:ilvl w:val="0"/>
                <w:numId w:val="85"/>
              </w:numPr>
              <w:spacing w:line="240" w:lineRule="auto"/>
            </w:pPr>
            <w:r w:rsidRPr="00684DAA">
              <w:t xml:space="preserve">możliwość aktualizacji </w:t>
            </w:r>
            <w:proofErr w:type="spellStart"/>
            <w:r w:rsidRPr="00684DAA">
              <w:t>firmware</w:t>
            </w:r>
            <w:proofErr w:type="spellEnd"/>
            <w:r w:rsidRPr="00684DAA">
              <w:t>/BIOS,</w:t>
            </w:r>
          </w:p>
          <w:p w14:paraId="6CEFBD07" w14:textId="77777777" w:rsidR="00F61D42" w:rsidRPr="00684DAA" w:rsidRDefault="00F61D42" w:rsidP="00F61D42">
            <w:pPr>
              <w:numPr>
                <w:ilvl w:val="0"/>
                <w:numId w:val="85"/>
              </w:numPr>
              <w:spacing w:line="240" w:lineRule="auto"/>
            </w:pPr>
            <w:r w:rsidRPr="00684DAA">
              <w:t>wsparcie dla funkcji zdalnego zarządzania serwerem (kontroler zarządzania/BMC lub równoważny),</w:t>
            </w:r>
          </w:p>
          <w:p w14:paraId="4433B9F1" w14:textId="77777777" w:rsidR="00F61D42" w:rsidRPr="00684DAA" w:rsidRDefault="00F61D42" w:rsidP="00F61D42">
            <w:pPr>
              <w:numPr>
                <w:ilvl w:val="0"/>
                <w:numId w:val="85"/>
              </w:numPr>
              <w:spacing w:line="240" w:lineRule="auto"/>
            </w:pPr>
            <w:r w:rsidRPr="00684DAA">
              <w:t>zgodność z systemami operacyjnymi klasy Windows Server 2022/2025 lub równoważnymi (jeżeli system będzie stosowany).</w:t>
            </w:r>
          </w:p>
        </w:tc>
      </w:tr>
      <w:tr w:rsidR="00F61D42" w:rsidRPr="00684DAA" w14:paraId="1286F580" w14:textId="77777777" w:rsidTr="00F61D42">
        <w:tc>
          <w:tcPr>
            <w:tcW w:w="1985" w:type="dxa"/>
          </w:tcPr>
          <w:p w14:paraId="03874C97" w14:textId="77777777" w:rsidR="00F61D42" w:rsidRPr="00684DAA" w:rsidRDefault="00F61D42" w:rsidP="007071DD">
            <w:r w:rsidRPr="00684DAA">
              <w:t>Procesor</w:t>
            </w:r>
          </w:p>
        </w:tc>
        <w:tc>
          <w:tcPr>
            <w:tcW w:w="7796" w:type="dxa"/>
          </w:tcPr>
          <w:p w14:paraId="7891F593" w14:textId="77777777" w:rsidR="00F61D42" w:rsidRPr="00684DAA" w:rsidRDefault="00F61D42" w:rsidP="007071DD">
            <w:r w:rsidRPr="00684DAA">
              <w:t>Minimum jeden procesor klasy serwerowej, wykonany w architekturze x86-64, wyposażony w co najmniej 6 rdzeni fizycznych oraz 12 wątków. Częstotliwość bazowa nie niższa niż 3.0 GHz. Pamięć cache minimum 18 MB. Procesor przeznaczony do pracy ciągłej w środowisku serwerowym</w:t>
            </w:r>
            <w:r>
              <w:t>.</w:t>
            </w:r>
          </w:p>
        </w:tc>
      </w:tr>
      <w:tr w:rsidR="00F61D42" w:rsidRPr="00684DAA" w14:paraId="44469AEC" w14:textId="77777777" w:rsidTr="00F61D42">
        <w:tc>
          <w:tcPr>
            <w:tcW w:w="1985" w:type="dxa"/>
          </w:tcPr>
          <w:p w14:paraId="5E84F4F5" w14:textId="77777777" w:rsidR="00F61D42" w:rsidRPr="00684DAA" w:rsidRDefault="00F61D42" w:rsidP="007071DD">
            <w:r w:rsidRPr="00684DAA">
              <w:t>Pamięć RAM</w:t>
            </w:r>
          </w:p>
        </w:tc>
        <w:tc>
          <w:tcPr>
            <w:tcW w:w="7796" w:type="dxa"/>
          </w:tcPr>
          <w:p w14:paraId="2DB64375" w14:textId="77777777" w:rsidR="00F61D42" w:rsidRPr="00684DAA" w:rsidRDefault="00F61D42" w:rsidP="007071DD">
            <w:r w:rsidRPr="00684DAA">
              <w:t>Minimum 32 GB pamięci RAM z korekcją błędów (ECC), typu DDR4 ECC lub DDR5 ECC (zgodnie z oferowaną platformą), przeznaczonej do pracy ciągłej w środowisku serwerowym. Wymagana możliwość późniejszej rozbudowy pamięci oraz posiadanie co najmniej jednego wolnego banku/slotu pamięci w konfiguracji dostarczanej.</w:t>
            </w:r>
          </w:p>
        </w:tc>
      </w:tr>
      <w:tr w:rsidR="00F61D42" w:rsidRPr="00684DAA" w14:paraId="14DC6800" w14:textId="77777777" w:rsidTr="00F61D42">
        <w:tc>
          <w:tcPr>
            <w:tcW w:w="1985" w:type="dxa"/>
          </w:tcPr>
          <w:p w14:paraId="63B22B25" w14:textId="77777777" w:rsidR="00F61D42" w:rsidRPr="00684DAA" w:rsidRDefault="00F61D42" w:rsidP="007071DD">
            <w:r w:rsidRPr="00684DAA">
              <w:t>Zarządzanie</w:t>
            </w:r>
          </w:p>
        </w:tc>
        <w:tc>
          <w:tcPr>
            <w:tcW w:w="7796" w:type="dxa"/>
          </w:tcPr>
          <w:p w14:paraId="452E1B5C" w14:textId="77777777" w:rsidR="00F61D42" w:rsidRPr="00684DAA" w:rsidRDefault="00F61D42" w:rsidP="007071DD">
            <w:r w:rsidRPr="00684DAA">
              <w:t xml:space="preserve">Serwer musi posiadać wbudowany kontroler zdalnego zarządzania niezależny od systemu operacyjnego (BMC lub równoważny) z dostępem przez interfejs WWW oraz dedykowany port RJ-45. Wymagane funkcje: monitoring sprzętu, rejestr zdarzeń (logi sprzętowe), zdalna konsola (KVM lub równoważna). Wymagane wsparcie dla IPv6 oraz standardów zarządzania: </w:t>
            </w:r>
            <w:proofErr w:type="spellStart"/>
            <w:r w:rsidRPr="00684DAA">
              <w:t>Redfish</w:t>
            </w:r>
            <w:proofErr w:type="spellEnd"/>
            <w:r w:rsidRPr="00684DAA">
              <w:t xml:space="preserve"> </w:t>
            </w:r>
            <w:r>
              <w:t>lub</w:t>
            </w:r>
            <w:r w:rsidRPr="00684DAA">
              <w:t xml:space="preserve"> IPMI 2.0 lub równoważnych.</w:t>
            </w:r>
          </w:p>
        </w:tc>
      </w:tr>
      <w:tr w:rsidR="00F61D42" w:rsidRPr="00684DAA" w14:paraId="0521E322" w14:textId="77777777" w:rsidTr="00F61D42">
        <w:tc>
          <w:tcPr>
            <w:tcW w:w="1985" w:type="dxa"/>
          </w:tcPr>
          <w:p w14:paraId="668E77BA" w14:textId="77777777" w:rsidR="00F61D42" w:rsidRPr="00684DAA" w:rsidRDefault="00F61D42" w:rsidP="007071DD">
            <w:r w:rsidRPr="00684DAA">
              <w:t>RAID</w:t>
            </w:r>
          </w:p>
        </w:tc>
        <w:tc>
          <w:tcPr>
            <w:tcW w:w="7796" w:type="dxa"/>
          </w:tcPr>
          <w:p w14:paraId="02940F76" w14:textId="77777777" w:rsidR="00F61D42" w:rsidRPr="00684DAA" w:rsidRDefault="00F61D42" w:rsidP="007071DD">
            <w:r w:rsidRPr="00BA0ACD">
              <w:t>Serwer musi umożliwiać konfigurację macierzy dla dysków SATA z poziomu BIOS/UEFI (wbudowana funkcjonalność serwera). Wymagana obsługa co najmniej konfiguracji zapewniającej redundancję danych dla dwóch dysków (RAID 1 lub równoważny mechanizm). Dopuszcza się dodatkowe poziomy RAID (np. RAID 0/5), o ile są dostępne w oferowanym rozwiązaniu. Wymagana kompatybilność z oferowanymi dyskami SATA III.</w:t>
            </w:r>
          </w:p>
        </w:tc>
      </w:tr>
      <w:tr w:rsidR="00F61D42" w:rsidRPr="00684DAA" w14:paraId="3856E7F1" w14:textId="77777777" w:rsidTr="00F61D42">
        <w:tc>
          <w:tcPr>
            <w:tcW w:w="1985" w:type="dxa"/>
          </w:tcPr>
          <w:p w14:paraId="00134ADA" w14:textId="77777777" w:rsidR="00F61D42" w:rsidRPr="00684DAA" w:rsidRDefault="00F61D42" w:rsidP="007071DD">
            <w:r w:rsidRPr="00684DAA">
              <w:t>Dyski systemowe</w:t>
            </w:r>
          </w:p>
        </w:tc>
        <w:tc>
          <w:tcPr>
            <w:tcW w:w="7796" w:type="dxa"/>
          </w:tcPr>
          <w:p w14:paraId="7F2B39D7" w14:textId="77777777" w:rsidR="00F61D42" w:rsidRPr="00684DAA" w:rsidRDefault="00F61D42" w:rsidP="007071DD">
            <w:r w:rsidRPr="00684DAA">
              <w:t>Serwer musi być wyposażony w co najmniej dwa zainstalowane nośniki danych SSD wykonane w technologii SATA III, w formacie 2,5 cala, o pojemności nie mniejszej niż 960 GB każdy. Nośniki muszą być typu Read-</w:t>
            </w:r>
            <w:proofErr w:type="spellStart"/>
            <w:r w:rsidRPr="00684DAA">
              <w:t>Intensive</w:t>
            </w:r>
            <w:proofErr w:type="spellEnd"/>
            <w:r w:rsidRPr="00684DAA">
              <w:t xml:space="preserve"> (lub równoważne), przeznaczone do pracy ciągłej w środowisku serwerowym, z obsługą S.M.A.R.T. oraz TRIM (o ile technologia to przewiduje). Dopuszcza się montaż wewnętrzny, bez konieczności zapewnienia funkcji hot-plug/hot-</w:t>
            </w:r>
            <w:proofErr w:type="spellStart"/>
            <w:r w:rsidRPr="00684DAA">
              <w:t>swap</w:t>
            </w:r>
            <w:proofErr w:type="spellEnd"/>
            <w:r w:rsidRPr="00684DAA">
              <w:t>.</w:t>
            </w:r>
          </w:p>
        </w:tc>
      </w:tr>
      <w:tr w:rsidR="00F61D42" w:rsidRPr="00684DAA" w14:paraId="798D8EBC" w14:textId="77777777" w:rsidTr="00F61D42">
        <w:tc>
          <w:tcPr>
            <w:tcW w:w="1985" w:type="dxa"/>
          </w:tcPr>
          <w:p w14:paraId="790CEC6D" w14:textId="77777777" w:rsidR="00F61D42" w:rsidRPr="00684DAA" w:rsidRDefault="00F61D42" w:rsidP="007071DD">
            <w:r w:rsidRPr="00684DAA">
              <w:t>Zasilanie</w:t>
            </w:r>
          </w:p>
        </w:tc>
        <w:tc>
          <w:tcPr>
            <w:tcW w:w="7796" w:type="dxa"/>
          </w:tcPr>
          <w:p w14:paraId="7FD716AB" w14:textId="77777777" w:rsidR="00F61D42" w:rsidRPr="00684DAA" w:rsidRDefault="00F61D42" w:rsidP="007071DD">
            <w:r w:rsidRPr="002E601F">
              <w:t>Serwer musi posiadać zasilacz o mocy nie mniejszej niż 500 W, przystosowany do pracy ciągłej 24/7. Zasilacz musi charakteryzować się wysoką sprawnością energetyczną co najmniej 80 PLUS Platinum lub równoważną.</w:t>
            </w:r>
            <w:r w:rsidRPr="002E601F">
              <w:br/>
              <w:t>Zamawiający dopuszcza konfiguracje z zasilaniem redundantnym 1+1 (dwa zasilacze) jako rozwiązanie równoważne lub lepsze, jednak nie jest to wymaganie minimalne.</w:t>
            </w:r>
          </w:p>
        </w:tc>
      </w:tr>
      <w:tr w:rsidR="00F61D42" w:rsidRPr="00684DAA" w14:paraId="7C534ACE" w14:textId="77777777" w:rsidTr="00F61D42">
        <w:tc>
          <w:tcPr>
            <w:tcW w:w="1985" w:type="dxa"/>
          </w:tcPr>
          <w:p w14:paraId="46A9C2CC" w14:textId="77777777" w:rsidR="00F61D42" w:rsidRPr="00684DAA" w:rsidRDefault="00F61D42" w:rsidP="007071DD">
            <w:r w:rsidRPr="00684DAA">
              <w:t>Interfejsy sieciowe</w:t>
            </w:r>
          </w:p>
        </w:tc>
        <w:tc>
          <w:tcPr>
            <w:tcW w:w="7796" w:type="dxa"/>
          </w:tcPr>
          <w:p w14:paraId="79A2F9BA" w14:textId="77777777" w:rsidR="00F61D42" w:rsidRPr="00684DAA" w:rsidRDefault="00F61D42" w:rsidP="007071DD">
            <w:r w:rsidRPr="00684DAA">
              <w:t xml:space="preserve">Serwer musi posiadać co najmniej dwa zintegrowane porty sieciowe RJ-45 Ethernet o przepustowości 1 </w:t>
            </w:r>
            <w:proofErr w:type="spellStart"/>
            <w:r w:rsidRPr="00684DAA">
              <w:t>Gb</w:t>
            </w:r>
            <w:proofErr w:type="spellEnd"/>
            <w:r w:rsidRPr="00684DAA">
              <w:t>/s (1GbE), zgodne ze standardem IEEE 802.3, z obsługą funkcji PXE (</w:t>
            </w:r>
            <w:proofErr w:type="spellStart"/>
            <w:r w:rsidRPr="00684DAA">
              <w:t>Preboot</w:t>
            </w:r>
            <w:proofErr w:type="spellEnd"/>
            <w:r w:rsidRPr="00684DAA">
              <w:t xml:space="preserve"> </w:t>
            </w:r>
            <w:proofErr w:type="spellStart"/>
            <w:r w:rsidRPr="00684DAA">
              <w:t>Execution</w:t>
            </w:r>
            <w:proofErr w:type="spellEnd"/>
            <w:r w:rsidRPr="00684DAA">
              <w:t xml:space="preserve"> Environment) lub równoważnej. Interfejsy muszą być dostępne bez użycia dodatkowych kart rozszerzeń. Wymagane jest zapewnienie kompatybilności sterowników z systemami operacyjnymi klasy Windows Server 2022/2025 (lub równoważnymi), poprzez sterowniki dostarczane wraz z systemem lub udostępniane przez producenta sprzętu.</w:t>
            </w:r>
          </w:p>
        </w:tc>
      </w:tr>
      <w:tr w:rsidR="00F61D42" w:rsidRPr="00684DAA" w14:paraId="00C414B3" w14:textId="77777777" w:rsidTr="00F61D42">
        <w:tc>
          <w:tcPr>
            <w:tcW w:w="1985" w:type="dxa"/>
          </w:tcPr>
          <w:p w14:paraId="2269B2F4" w14:textId="77777777" w:rsidR="00F61D42" w:rsidRPr="00684DAA" w:rsidRDefault="00F61D42" w:rsidP="007071DD">
            <w:r w:rsidRPr="00684DAA">
              <w:t>Bezpieczeństwo</w:t>
            </w:r>
          </w:p>
        </w:tc>
        <w:tc>
          <w:tcPr>
            <w:tcW w:w="7796" w:type="dxa"/>
          </w:tcPr>
          <w:p w14:paraId="4C0306B1" w14:textId="77777777" w:rsidR="00F61D42" w:rsidRDefault="00F61D42" w:rsidP="007071DD">
            <w:r>
              <w:t>Serwer musi być wyposażony w zintegrowany moduł TPM w wersji 2.0 (lub równoważny). BIOS/UEFI musi wspierać funkcję bezpiecznego rozruchu (</w:t>
            </w:r>
            <w:proofErr w:type="spellStart"/>
            <w:r>
              <w:t>Secure</w:t>
            </w:r>
            <w:proofErr w:type="spellEnd"/>
            <w:r>
              <w:t xml:space="preserve"> </w:t>
            </w:r>
            <w:proofErr w:type="spellStart"/>
            <w:r>
              <w:t>Boot</w:t>
            </w:r>
            <w:proofErr w:type="spellEnd"/>
            <w:r>
              <w:t>) oraz umożliwiać konfigurację haseł dostępu (co najmniej: hasło administratora BIOS/UEFI oraz hasło uruchomieniowe). Wymagana jest możliwość ograniczenia dostępu do portów USB (np. blokada/wyłączenie portów z poziomu BIOS/UEFI) lub rozwiązanie równoważne.</w:t>
            </w:r>
          </w:p>
          <w:p w14:paraId="2B249C27" w14:textId="77777777" w:rsidR="00F61D42" w:rsidRDefault="00F61D42" w:rsidP="007071DD">
            <w:r>
              <w:t>Obudowa powinna umożliwiać fizyczne zabezpieczenie dostępu do wnętrza (np. zamek/zatrzask umożliwiający zastosowanie blokady) oraz powinna posiadać czujnik otwarcia obudowy (</w:t>
            </w:r>
            <w:proofErr w:type="spellStart"/>
            <w:r>
              <w:t>intrusion</w:t>
            </w:r>
            <w:proofErr w:type="spellEnd"/>
            <w:r>
              <w:t>) z rejestracją zdarzenia w logach sprzętowych (BMC lub równoważne).</w:t>
            </w:r>
          </w:p>
          <w:p w14:paraId="36875491" w14:textId="77777777" w:rsidR="00F61D42" w:rsidRPr="00684DAA" w:rsidRDefault="00F61D42" w:rsidP="007071DD">
            <w:r>
              <w:t xml:space="preserve">Wymagana jest możliwość trwałego usunięcia danych z dysków niezależnie od zainstalowanego systemu operacyjnego, przy użyciu funkcji dostępnej w </w:t>
            </w:r>
            <w:proofErr w:type="spellStart"/>
            <w:r>
              <w:t>firmware</w:t>
            </w:r>
            <w:proofErr w:type="spellEnd"/>
            <w:r>
              <w:t xml:space="preserve">/BIOS/UEFI lub narzędzia producenta uruchamianego z nośnika/środowiska </w:t>
            </w:r>
            <w:proofErr w:type="spellStart"/>
            <w:r>
              <w:t>bootowalnego</w:t>
            </w:r>
            <w:proofErr w:type="spellEnd"/>
            <w:r>
              <w:t xml:space="preserve"> (lub rozwiązania równoważnego).</w:t>
            </w:r>
          </w:p>
        </w:tc>
      </w:tr>
      <w:tr w:rsidR="00F61D42" w:rsidRPr="00684DAA" w14:paraId="49C0E760" w14:textId="77777777" w:rsidTr="00F61D42">
        <w:tc>
          <w:tcPr>
            <w:tcW w:w="1985" w:type="dxa"/>
          </w:tcPr>
          <w:p w14:paraId="7D5AB838" w14:textId="77777777" w:rsidR="00F61D42" w:rsidRPr="00684DAA" w:rsidRDefault="00F61D42" w:rsidP="007071DD">
            <w:r w:rsidRPr="00684DAA">
              <w:t>Oprogramowanie do zarządzania</w:t>
            </w:r>
          </w:p>
        </w:tc>
        <w:tc>
          <w:tcPr>
            <w:tcW w:w="7796" w:type="dxa"/>
          </w:tcPr>
          <w:p w14:paraId="1C5A2818" w14:textId="77777777" w:rsidR="00F61D42" w:rsidRPr="00684DAA" w:rsidRDefault="00F61D42" w:rsidP="007071DD">
            <w:r w:rsidRPr="006C1A28">
              <w:t>Zamawiający nie wymaga dostarczenia dodatkowego, licencjonowanego oprogramowania do centralnego zarządzania infrastrukturą. Dopuszcza się wykorzystanie funkcji wbudowanego kontrolera zdalnego zarządzania serwera (BMC lub równoważnego) oraz narzędzi dostępnych w środowisku Zamawiającego.</w:t>
            </w:r>
          </w:p>
        </w:tc>
      </w:tr>
      <w:tr w:rsidR="00F61D42" w:rsidRPr="00684DAA" w14:paraId="763EA47B" w14:textId="77777777" w:rsidTr="00F61D42">
        <w:tc>
          <w:tcPr>
            <w:tcW w:w="1985" w:type="dxa"/>
          </w:tcPr>
          <w:p w14:paraId="087932BB" w14:textId="77777777" w:rsidR="00F61D42" w:rsidRPr="00684DAA" w:rsidRDefault="00F61D42" w:rsidP="007071DD">
            <w:r w:rsidRPr="00684DAA">
              <w:t>System operacyjny</w:t>
            </w:r>
          </w:p>
        </w:tc>
        <w:tc>
          <w:tcPr>
            <w:tcW w:w="7796" w:type="dxa"/>
          </w:tcPr>
          <w:p w14:paraId="2C9BF625" w14:textId="77777777" w:rsidR="00F61D42" w:rsidRPr="00684DAA" w:rsidRDefault="00F61D42" w:rsidP="007071DD">
            <w:r w:rsidRPr="00696E50">
              <w:t>System operacyjny Microsoft Windows Server 2025 Essentials 64-bit lub równoważny w ramach rodziny Microsoft Windows Server. Licencja musi być nowa, do zastosowań komercyjnych/instytucjonalnych, z legalnego kanału dystrybucji na rynek polski. Licencja musi uprawniać co najmniej do uruchomienia jednej instancji fizycznej oraz jednej instancji wirtualnej systemu, zgodnie z warunkami licencji producenta. Zamawiający nie dopuszcza rozwiązań równoważnych spoza rodziny Microsoft Windows Server (w szczególności Linux/UNIX).</w:t>
            </w:r>
          </w:p>
        </w:tc>
      </w:tr>
      <w:tr w:rsidR="00F61D42" w:rsidRPr="00684DAA" w14:paraId="36CD688A" w14:textId="77777777" w:rsidTr="00F61D42">
        <w:tc>
          <w:tcPr>
            <w:tcW w:w="1985" w:type="dxa"/>
          </w:tcPr>
          <w:p w14:paraId="5C3907FB" w14:textId="77777777" w:rsidR="00F61D42" w:rsidRPr="00684DAA" w:rsidRDefault="00F61D42" w:rsidP="007071DD">
            <w:r w:rsidRPr="00684DAA">
              <w:t>Wymagania dodatkowe</w:t>
            </w:r>
          </w:p>
        </w:tc>
        <w:tc>
          <w:tcPr>
            <w:tcW w:w="7796" w:type="dxa"/>
          </w:tcPr>
          <w:p w14:paraId="12F4076C" w14:textId="77777777" w:rsidR="00F61D42" w:rsidRPr="00684DAA" w:rsidRDefault="00F61D42" w:rsidP="007071DD">
            <w:r w:rsidRPr="007B6478">
              <w:t xml:space="preserve">– serwer musi być wyprodukowany zgodnie z normami jakości i środowiskowymi u producenta (np. ISO 9001:2015 oraz ISO 14001, ISO 50001 lub równoważne); </w:t>
            </w:r>
            <w:r w:rsidRPr="007B6478">
              <w:br/>
              <w:t xml:space="preserve">– serwer musi posiadać deklarację zgodności CE; </w:t>
            </w:r>
            <w:r w:rsidRPr="007B6478">
              <w:br/>
              <w:t>– serwer powinien spełniać wymagania w zakresie postępowania z odpadami sprzętu elektrycznego i elektronicznego (WEEE) oraz ograniczenia substancji niebezpiecznych (</w:t>
            </w:r>
            <w:proofErr w:type="spellStart"/>
            <w:r w:rsidRPr="007B6478">
              <w:t>RoHS</w:t>
            </w:r>
            <w:proofErr w:type="spellEnd"/>
            <w:r w:rsidRPr="007B6478">
              <w:t>) lub równoważne.</w:t>
            </w:r>
          </w:p>
        </w:tc>
      </w:tr>
      <w:tr w:rsidR="00F61D42" w:rsidRPr="00684DAA" w14:paraId="50776B7E" w14:textId="77777777" w:rsidTr="00F61D42">
        <w:tc>
          <w:tcPr>
            <w:tcW w:w="1985" w:type="dxa"/>
          </w:tcPr>
          <w:p w14:paraId="013059B7" w14:textId="77777777" w:rsidR="00F61D42" w:rsidRPr="00684DAA" w:rsidRDefault="00F61D42" w:rsidP="007071DD">
            <w:r w:rsidRPr="00684DAA">
              <w:t>Dokumentacja użytkownika</w:t>
            </w:r>
          </w:p>
        </w:tc>
        <w:tc>
          <w:tcPr>
            <w:tcW w:w="7796" w:type="dxa"/>
          </w:tcPr>
          <w:p w14:paraId="36EE8451" w14:textId="77777777" w:rsidR="00F61D42" w:rsidRDefault="00F61D42" w:rsidP="007071DD">
            <w:r>
              <w:t>– Zamawiający wymaga zapewnienia dostępu do dokumentacji technicznej oferowanego serwera w języku polskim lub angielskim w formie elektronicznej (np. portal wsparcia producenta), obejmującej co najmniej:</w:t>
            </w:r>
          </w:p>
          <w:p w14:paraId="7756F229" w14:textId="77777777" w:rsidR="00F61D42" w:rsidRDefault="00F61D42" w:rsidP="007071DD">
            <w:r>
              <w:t>– kartę produktową umożliwiającą weryfikację parametrów technicznych sprzętu,</w:t>
            </w:r>
          </w:p>
          <w:p w14:paraId="5D951949" w14:textId="77777777" w:rsidR="00F61D42" w:rsidRDefault="00F61D42" w:rsidP="007071DD">
            <w:r>
              <w:t>– instrukcję instalacji/uruchomienia,</w:t>
            </w:r>
          </w:p>
          <w:p w14:paraId="3BF7F23E" w14:textId="77777777" w:rsidR="00F61D42" w:rsidRDefault="00F61D42" w:rsidP="007071DD">
            <w:r>
              <w:t>– podręcznik administracyjny/serwisowy,</w:t>
            </w:r>
          </w:p>
          <w:p w14:paraId="3214FD81" w14:textId="77777777" w:rsidR="00F61D42" w:rsidRDefault="00F61D42" w:rsidP="007071DD">
            <w:r>
              <w:t>– warunki gwarancji.</w:t>
            </w:r>
          </w:p>
          <w:p w14:paraId="6A4E148E" w14:textId="77777777" w:rsidR="00F61D42" w:rsidRPr="00684DAA" w:rsidRDefault="00F61D42" w:rsidP="007071DD">
            <w:r>
              <w:t>– Zamawiający nie wymaga dostarczenia dokumentacji w formie papierowej ani na nośniku, o ile powyższe dokumenty są dostępne elektronicznie.</w:t>
            </w:r>
          </w:p>
        </w:tc>
      </w:tr>
      <w:tr w:rsidR="00F61D42" w:rsidRPr="00684DAA" w14:paraId="377DD91F" w14:textId="77777777" w:rsidTr="00F61D42">
        <w:tc>
          <w:tcPr>
            <w:tcW w:w="1985" w:type="dxa"/>
          </w:tcPr>
          <w:p w14:paraId="1063ADCC" w14:textId="77777777" w:rsidR="00F61D42" w:rsidRPr="00684DAA" w:rsidRDefault="00F61D42" w:rsidP="007071DD">
            <w:r w:rsidRPr="00684DAA">
              <w:t>Gwarancja</w:t>
            </w:r>
          </w:p>
        </w:tc>
        <w:tc>
          <w:tcPr>
            <w:tcW w:w="7796" w:type="dxa"/>
          </w:tcPr>
          <w:p w14:paraId="5B0F2999" w14:textId="77777777" w:rsidR="00F61D42" w:rsidRDefault="00F61D42" w:rsidP="007071DD">
            <w:r>
              <w:t>– minimalny okres gwarancji: 60 miesięcy (5 lat);</w:t>
            </w:r>
          </w:p>
          <w:p w14:paraId="6FBBBF27" w14:textId="77777777" w:rsidR="00F61D42" w:rsidRDefault="00F61D42" w:rsidP="007071DD">
            <w:r>
              <w:t>– gwarancja realizowana w miejscu instalacji sprzętu (on-</w:t>
            </w:r>
            <w:proofErr w:type="spellStart"/>
            <w:r>
              <w:t>site</w:t>
            </w:r>
            <w:proofErr w:type="spellEnd"/>
            <w:r>
              <w:t>) lub równoważnie, z czasem reakcji nie później niż do następnego dnia roboczego od przyjęcia zgłoszenia (NBD) lub równoważnym;</w:t>
            </w:r>
          </w:p>
          <w:p w14:paraId="10A11C94" w14:textId="77777777" w:rsidR="00F61D42" w:rsidRDefault="00F61D42" w:rsidP="007071DD">
            <w:r>
              <w:t>– możliwość zgłaszania awarii w trybie 9x5 (dni robocze) lub równoważnie;</w:t>
            </w:r>
          </w:p>
          <w:p w14:paraId="0FD21257" w14:textId="77777777" w:rsidR="00F61D42" w:rsidRDefault="00F61D42" w:rsidP="007071DD">
            <w:r>
              <w:t>– Wykonawca ponosi pełne koszty napraw gwarancyjnych (części, robocizna, transport);</w:t>
            </w:r>
          </w:p>
          <w:p w14:paraId="09164C68" w14:textId="77777777" w:rsidR="00F61D42" w:rsidRPr="00684DAA" w:rsidRDefault="00F61D42" w:rsidP="007071DD">
            <w:r>
              <w:t xml:space="preserve">– zapewnienie dostępu do aktualizacji </w:t>
            </w:r>
            <w:proofErr w:type="spellStart"/>
            <w:r>
              <w:t>mikrokodu</w:t>
            </w:r>
            <w:proofErr w:type="spellEnd"/>
            <w:r>
              <w:t>/</w:t>
            </w:r>
            <w:proofErr w:type="spellStart"/>
            <w:r>
              <w:t>firmware</w:t>
            </w:r>
            <w:proofErr w:type="spellEnd"/>
            <w:r>
              <w:t>/sterowników w okresie gwarancji (oraz jeśli producent udostępnia – także po jej zakończeniu).</w:t>
            </w:r>
          </w:p>
        </w:tc>
      </w:tr>
    </w:tbl>
    <w:p w14:paraId="2724EB4D" w14:textId="77777777" w:rsidR="00911223" w:rsidRPr="007C129D" w:rsidRDefault="00911223" w:rsidP="00911223">
      <w:pPr>
        <w:pStyle w:val="Akapitzlist"/>
        <w:spacing w:line="259" w:lineRule="auto"/>
        <w:rPr>
          <w:rFonts w:asciiTheme="minorHAnsi" w:hAnsiTheme="minorHAnsi" w:cstheme="minorHAnsi"/>
          <w:sz w:val="20"/>
          <w:szCs w:val="20"/>
        </w:rPr>
      </w:pPr>
    </w:p>
    <w:p w14:paraId="60580A6B" w14:textId="4C1B8166" w:rsidR="00AC210F" w:rsidRPr="00AC210F" w:rsidRDefault="00AC210F" w:rsidP="00AC210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C210F">
        <w:rPr>
          <w:b/>
          <w:sz w:val="20"/>
          <w:szCs w:val="20"/>
        </w:rPr>
        <w:t>Opis równoważności dla systemu Windows Server 2025 Essentials:</w:t>
      </w:r>
    </w:p>
    <w:p w14:paraId="2C9483E3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Zamawiający wymaga dostawy systemu operacyjnego klasy serwerowej Microsoft Windows Server 2025 Essentials w wersji 64-bit. Zamawiający dopuszcza zaoferowanie rozwiązania równoważnego wyłącznie w ramach rodziny Microsoft Windows Server, pod warunkiem spełnienia wymagań minimalnych opisanych poniżej. Równoważność nie obejmuje systemów z innych rodzin (w szczególności Linux/UNIX).</w:t>
      </w:r>
    </w:p>
    <w:p w14:paraId="58946D36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Oferowany system (lub rozwiązanie równoważne) musi być przeznaczony do pracy serwerowej w środowisku fizycznym oraz wirtualnym oraz zapewniać możliwość pełnienia ról/usług serwerowych typowych dla systemów Windows Server, w zakresie nie mniejszym niż edycja Essentials.</w:t>
      </w:r>
    </w:p>
    <w:p w14:paraId="512E90F9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Wymagana architektura: x86-64 (64-bit) oraz możliwość uruchamiania aplikacji 32-bit i 64-bit (o ile aplikacje to dopuszczają).</w:t>
      </w:r>
    </w:p>
    <w:p w14:paraId="027C90EE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 xml:space="preserve">Wymagany model licencjonowania: licencja musi być zgodna z zasadami licencjonowania producenta dla oferowanej edycji i wersji systemu. Licencja musi uprawniać do legalnego uruchomienia systemu na oferowanym serwerze. Jeżeli oferowany wariant licencji jest licencjonowany na rdzenie (per </w:t>
      </w:r>
      <w:proofErr w:type="spellStart"/>
      <w:r>
        <w:t>core</w:t>
      </w:r>
      <w:proofErr w:type="spellEnd"/>
      <w:r>
        <w:t>), licencja musi obejmować wszystkie rdzenie fizyczne oferowanego serwera oraz spełniać minimalne progi licencyjne producenta (jeżeli dotyczy).</w:t>
      </w:r>
    </w:p>
    <w:p w14:paraId="7FD0A039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Wymagane prawa wirtualizacji odpowiadające edycji Essentials: licencja, po prawidłowym przypisaniu do serwera, musi uprawniać do uruchomienia jednej instancji fizycznej systemu oraz do jednej instancji wirtualnej systemu na licencjonowanym hoście, zgodnie z warunkami licencji producenta.</w:t>
      </w:r>
    </w:p>
    <w:p w14:paraId="019F9988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System musi wspierać co najmniej następujące role/funkcje (wbudowane lub dostępne jako standardowe komponenty systemu):</w:t>
      </w:r>
    </w:p>
    <w:p w14:paraId="62D1B352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usługi plików i udostępniania zasobów (SMB) lub równoważne,</w:t>
      </w:r>
    </w:p>
    <w:p w14:paraId="21D9447B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usługi katalogowe/uwierzytelniania lub współpracę z usługą katalogową oraz zarządzanie uprawnieniami i politykami dostępu,</w:t>
      </w:r>
    </w:p>
    <w:p w14:paraId="2724F302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podstawowe usługi sieciowe (np. DNS, DHCP – jeżeli wykorzystywane w środowisku),</w:t>
      </w:r>
    </w:p>
    <w:p w14:paraId="4F8B62C6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zdalną administrację (w tym narzędzia konsolowe/PowerShell lub równoważne) oraz zarządzanie zdalne,</w:t>
      </w:r>
    </w:p>
    <w:p w14:paraId="315937F9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mechanizmy aktualizacji i poprawek bezpieczeństwa w okresie wsparcia dla danej wersji.</w:t>
      </w:r>
    </w:p>
    <w:p w14:paraId="46C51077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System musi zapewniać mechanizmy bezpieczeństwa co najmniej na poziomie:</w:t>
      </w:r>
    </w:p>
    <w:p w14:paraId="11158A3D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kontrola uprawnień do zasobów (ACL) lub równoważne,</w:t>
      </w:r>
    </w:p>
    <w:p w14:paraId="0264F3F2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zapora systemowa hosta (firewall) lub równoważna,</w:t>
      </w:r>
    </w:p>
    <w:p w14:paraId="75EF3DB6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rejestrowanie zdarzeń (logi/audyt) oraz możliwość ich przeglądu/eksportu,</w:t>
      </w:r>
    </w:p>
    <w:p w14:paraId="761F752A" w14:textId="77777777" w:rsidR="00AC210F" w:rsidRDefault="00AC210F" w:rsidP="00AC210F">
      <w:pPr>
        <w:pStyle w:val="Akapitzlist"/>
        <w:numPr>
          <w:ilvl w:val="1"/>
          <w:numId w:val="86"/>
        </w:numPr>
        <w:spacing w:after="200" w:line="276" w:lineRule="auto"/>
      </w:pPr>
      <w:r>
        <w:t>szyfrowanie danych (np. na poziomie wolumenów/dysków) lub równoważne funkcje dostępne w oferowanym systemie.</w:t>
      </w:r>
    </w:p>
    <w:p w14:paraId="2FDEBB61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System musi umożliwiać instalację i pracę w trybie graficznym lub w trybie bez interfejsu graficznego, jeżeli jest to przewidziane dla oferowanej edycji, zależnie od implementacji.</w:t>
      </w:r>
    </w:p>
    <w:p w14:paraId="0EC73A1B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Aktualizacje: w ramach dostarczonej licencji musi istnieć możliwość pobierania i instalowania aktualizacji bezpieczeństwa oraz poprawek systemowych zgodnie z zasadami producenta w czasie trwania wsparcia dla danej wersji.</w:t>
      </w:r>
    </w:p>
    <w:p w14:paraId="0C0CC453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Legalność i kanał dystrybucji: licencja musi pochodzić z legalnego kanału dystrybucji na rynek polski. Nie dopuszcza się licencji z rynku wtórnego, kluczy niewiadomego pochodzenia ani form dostawy sprzecznych z warunkami licencji producenta.</w:t>
      </w:r>
    </w:p>
    <w:p w14:paraId="60D46590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 xml:space="preserve">Dopuszcza się zaoferowanie licencji uprawniającej do instalacji starszej wersji systemu Windows Server z edycji odpowiadającej Essentials (prawo </w:t>
      </w:r>
      <w:proofErr w:type="spellStart"/>
      <w:r>
        <w:t>downgrade</w:t>
      </w:r>
      <w:proofErr w:type="spellEnd"/>
      <w:r>
        <w:t>), o ile jest to zgodne z warunkami licencji producenta i nie ogranicza wymagań dotyczących praw uruchomieniowych (instancja fizyczna + instancja wirtualna) opisanych powyżej.</w:t>
      </w:r>
    </w:p>
    <w:p w14:paraId="4F49351B" w14:textId="77777777" w:rsidR="00AC210F" w:rsidRDefault="00AC210F" w:rsidP="00AC210F">
      <w:pPr>
        <w:pStyle w:val="Akapitzlist"/>
        <w:numPr>
          <w:ilvl w:val="0"/>
          <w:numId w:val="86"/>
        </w:numPr>
        <w:spacing w:after="200" w:line="276" w:lineRule="auto"/>
      </w:pPr>
      <w:r>
        <w:t>Potwierdzenie równoważności: spełnienie wymagań równoważności może zostać potwierdzone przez oświadczenie Wykonawcy wskazujące oferowaną wersję/edycję systemu oraz podstawowe parametry licencjonowania i praw uruchomieniowych (w szczególności prawo do uruchomienia instancji fizycznej oraz instancji wirtualnej).</w:t>
      </w:r>
    </w:p>
    <w:p w14:paraId="353C43E8" w14:textId="77777777" w:rsidR="00AC210F" w:rsidRPr="00811B6E" w:rsidRDefault="00AC210F" w:rsidP="00811B6E">
      <w:pPr>
        <w:spacing w:after="0" w:line="259" w:lineRule="auto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6738FF84" w14:textId="13E55F2C" w:rsidR="006B1180" w:rsidRPr="00811B6E" w:rsidRDefault="00D56352" w:rsidP="00D56352">
      <w:pPr>
        <w:pStyle w:val="Nagwek2"/>
      </w:pPr>
      <w:r>
        <w:t xml:space="preserve">6.2. </w:t>
      </w:r>
      <w:r w:rsidR="00873072" w:rsidRPr="00811B6E">
        <w:t xml:space="preserve">Dostawa i wdrożenie </w:t>
      </w:r>
      <w:r w:rsidR="00AB43C4" w:rsidRPr="00811B6E">
        <w:t>urządzeń NAS</w:t>
      </w:r>
      <w:r w:rsidR="009A2674">
        <w:t xml:space="preserve"> – 2 szt.</w:t>
      </w:r>
    </w:p>
    <w:p w14:paraId="430EB73C" w14:textId="77777777" w:rsidR="00811B6E" w:rsidRPr="00811B6E" w:rsidRDefault="00811B6E" w:rsidP="00811B6E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352EB150" w14:textId="5E3CA028" w:rsidR="00FE4824" w:rsidRPr="007C129D" w:rsidRDefault="00FE4824" w:rsidP="00CE6A92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Dostawa i wdrożenie </w:t>
      </w:r>
      <w:r w:rsidR="00DF3D7A" w:rsidRPr="007C129D">
        <w:rPr>
          <w:rFonts w:asciiTheme="minorHAnsi" w:hAnsiTheme="minorHAnsi" w:cstheme="minorHAnsi"/>
          <w:b/>
          <w:bCs/>
          <w:sz w:val="20"/>
          <w:szCs w:val="20"/>
        </w:rPr>
        <w:t xml:space="preserve">dwóch </w:t>
      </w:r>
      <w:r w:rsidR="00AB43C4" w:rsidRPr="007C129D">
        <w:rPr>
          <w:rFonts w:asciiTheme="minorHAnsi" w:hAnsiTheme="minorHAnsi" w:cstheme="minorHAnsi"/>
          <w:b/>
          <w:bCs/>
          <w:sz w:val="20"/>
          <w:szCs w:val="20"/>
        </w:rPr>
        <w:t>urządzeń NAS</w:t>
      </w:r>
    </w:p>
    <w:p w14:paraId="1C5CDF9B" w14:textId="77777777" w:rsidR="00DF3D7A" w:rsidRPr="007C129D" w:rsidRDefault="00DF3D7A" w:rsidP="00DF3D7A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49085611" w14:textId="0443D878" w:rsidR="00811B6E" w:rsidRDefault="00811B6E" w:rsidP="00A27955">
      <w:pPr>
        <w:pStyle w:val="Akapitzli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811B6E">
        <w:rPr>
          <w:rFonts w:asciiTheme="minorHAnsi" w:hAnsiTheme="minorHAnsi" w:cstheme="minorHAnsi"/>
          <w:sz w:val="20"/>
          <w:szCs w:val="20"/>
        </w:rPr>
        <w:t>NAS muszą zostać dostarczone w dwóch jednostkach podległych Zam</w:t>
      </w:r>
      <w:r w:rsidR="0032791E">
        <w:rPr>
          <w:rFonts w:asciiTheme="minorHAnsi" w:hAnsiTheme="minorHAnsi" w:cstheme="minorHAnsi"/>
          <w:sz w:val="20"/>
          <w:szCs w:val="20"/>
        </w:rPr>
        <w:t>awiającego (CUW Iwaniska, DPS </w:t>
      </w:r>
      <w:r w:rsidR="00647C7C">
        <w:rPr>
          <w:rFonts w:asciiTheme="minorHAnsi" w:hAnsiTheme="minorHAnsi" w:cstheme="minorHAnsi"/>
          <w:sz w:val="20"/>
          <w:szCs w:val="20"/>
        </w:rPr>
        <w:t>w </w:t>
      </w:r>
      <w:r w:rsidRPr="00811B6E">
        <w:rPr>
          <w:rFonts w:asciiTheme="minorHAnsi" w:hAnsiTheme="minorHAnsi" w:cstheme="minorHAnsi"/>
          <w:sz w:val="20"/>
          <w:szCs w:val="20"/>
        </w:rPr>
        <w:t>Przepiórowie)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18C669C" w14:textId="159FEB7E" w:rsidR="00873072" w:rsidRDefault="00FE4824" w:rsidP="00A27955">
      <w:pPr>
        <w:pStyle w:val="Akapitzli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hAnsiTheme="minorHAnsi" w:cstheme="minorHAnsi"/>
          <w:sz w:val="20"/>
          <w:szCs w:val="20"/>
        </w:rPr>
        <w:t xml:space="preserve">Należy dostarczyć </w:t>
      </w:r>
      <w:r w:rsidR="00DF3D7A" w:rsidRPr="007C129D">
        <w:rPr>
          <w:rFonts w:asciiTheme="minorHAnsi" w:hAnsiTheme="minorHAnsi" w:cstheme="minorHAnsi"/>
          <w:sz w:val="20"/>
          <w:szCs w:val="20"/>
        </w:rPr>
        <w:t xml:space="preserve">dwa tożsame </w:t>
      </w:r>
      <w:r w:rsidR="00AB43C4" w:rsidRPr="007C129D">
        <w:rPr>
          <w:rFonts w:asciiTheme="minorHAnsi" w:hAnsiTheme="minorHAnsi" w:cstheme="minorHAnsi"/>
          <w:sz w:val="20"/>
          <w:szCs w:val="20"/>
        </w:rPr>
        <w:t>rozwiązania</w:t>
      </w:r>
      <w:r w:rsidR="00DF3D7A" w:rsidRPr="007C129D">
        <w:rPr>
          <w:rFonts w:asciiTheme="minorHAnsi" w:hAnsiTheme="minorHAnsi" w:cstheme="minorHAnsi"/>
          <w:sz w:val="20"/>
          <w:szCs w:val="20"/>
        </w:rPr>
        <w:t xml:space="preserve"> dla jednostek podległych</w:t>
      </w:r>
      <w:r w:rsidR="00AB43C4" w:rsidRPr="007C129D">
        <w:rPr>
          <w:rFonts w:asciiTheme="minorHAnsi" w:hAnsiTheme="minorHAnsi" w:cstheme="minorHAnsi"/>
          <w:sz w:val="20"/>
          <w:szCs w:val="20"/>
        </w:rPr>
        <w:t>.</w:t>
      </w:r>
      <w:r w:rsidR="0032791E">
        <w:rPr>
          <w:rFonts w:asciiTheme="minorHAnsi" w:hAnsiTheme="minorHAnsi" w:cstheme="minorHAnsi"/>
          <w:sz w:val="20"/>
          <w:szCs w:val="20"/>
        </w:rPr>
        <w:t xml:space="preserve"> </w:t>
      </w:r>
      <w:r w:rsidR="00DF3D7A" w:rsidRPr="007C129D">
        <w:rPr>
          <w:rFonts w:asciiTheme="minorHAnsi" w:hAnsiTheme="minorHAnsi" w:cstheme="minorHAnsi"/>
          <w:sz w:val="20"/>
          <w:szCs w:val="20"/>
        </w:rPr>
        <w:t>Każde rozwiązanie musi składać</w:t>
      </w:r>
      <w:r w:rsidR="0032791E">
        <w:rPr>
          <w:rFonts w:asciiTheme="minorHAnsi" w:hAnsiTheme="minorHAnsi" w:cstheme="minorHAnsi"/>
          <w:sz w:val="20"/>
          <w:szCs w:val="20"/>
        </w:rPr>
        <w:t xml:space="preserve"> się z </w:t>
      </w:r>
      <w:r w:rsidRPr="007C129D">
        <w:rPr>
          <w:rFonts w:asciiTheme="minorHAnsi" w:hAnsiTheme="minorHAnsi" w:cstheme="minorHAnsi"/>
          <w:sz w:val="20"/>
          <w:szCs w:val="20"/>
        </w:rPr>
        <w:t>urządzenia pamięci masowej NAS</w:t>
      </w:r>
      <w:r w:rsidR="003E6672">
        <w:rPr>
          <w:rFonts w:asciiTheme="minorHAnsi" w:hAnsiTheme="minorHAnsi" w:cstheme="minorHAnsi"/>
          <w:sz w:val="20"/>
          <w:szCs w:val="20"/>
        </w:rPr>
        <w:t xml:space="preserve"> i</w:t>
      </w:r>
      <w:r w:rsidRPr="007C129D">
        <w:rPr>
          <w:rFonts w:asciiTheme="minorHAnsi" w:hAnsiTheme="minorHAnsi" w:cstheme="minorHAnsi"/>
          <w:sz w:val="20"/>
          <w:szCs w:val="20"/>
        </w:rPr>
        <w:t xml:space="preserve"> </w:t>
      </w:r>
      <w:r w:rsidR="00AB43C4" w:rsidRPr="007C129D">
        <w:rPr>
          <w:rFonts w:asciiTheme="minorHAnsi" w:hAnsiTheme="minorHAnsi" w:cstheme="minorHAnsi"/>
          <w:sz w:val="20"/>
          <w:szCs w:val="20"/>
        </w:rPr>
        <w:t>dysków</w:t>
      </w:r>
      <w:r w:rsidRPr="007C129D">
        <w:rPr>
          <w:rFonts w:asciiTheme="minorHAnsi" w:hAnsiTheme="minorHAnsi" w:cstheme="minorHAnsi"/>
          <w:sz w:val="20"/>
          <w:szCs w:val="20"/>
        </w:rPr>
        <w:t>.</w:t>
      </w:r>
    </w:p>
    <w:p w14:paraId="004D3E90" w14:textId="77777777" w:rsidR="000E7261" w:rsidRDefault="000E7261" w:rsidP="000E7261">
      <w:pPr>
        <w:jc w:val="both"/>
      </w:pPr>
      <w:r>
        <w:t xml:space="preserve">Zamawiający dopuszcza składanie ofert równoważnych, spełniających wszystkie opisane poniżej wymagania minimalne. </w:t>
      </w:r>
    </w:p>
    <w:p w14:paraId="2957E984" w14:textId="2E65C972" w:rsidR="000E7261" w:rsidRDefault="000E7261" w:rsidP="000E7261">
      <w:pPr>
        <w:jc w:val="both"/>
      </w:pPr>
      <w:r>
        <w:t>Wszystkie oferowane komponenty muszą być fabrycznie nowe, nieużywane, nieodnawiane, pochodzące z legalnego kanału dystrybucji na rynek polski.</w:t>
      </w:r>
    </w:p>
    <w:p w14:paraId="08798BC6" w14:textId="77777777" w:rsidR="00FE4824" w:rsidRPr="007C129D" w:rsidRDefault="00FE4824" w:rsidP="00FE4824">
      <w:pPr>
        <w:pStyle w:val="Akapitzlist"/>
        <w:ind w:left="360"/>
        <w:rPr>
          <w:rFonts w:asciiTheme="minorHAnsi" w:hAnsiTheme="minorHAnsi" w:cstheme="minorHAnsi"/>
          <w:b/>
          <w:bCs/>
          <w:sz w:val="20"/>
          <w:szCs w:val="20"/>
        </w:rPr>
      </w:pPr>
    </w:p>
    <w:p w14:paraId="59878572" w14:textId="3FCFEDFB" w:rsidR="006B1180" w:rsidRPr="007C129D" w:rsidRDefault="000D7E08" w:rsidP="00CE6A92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b/>
          <w:bCs/>
          <w:sz w:val="20"/>
          <w:szCs w:val="20"/>
        </w:rPr>
      </w:pPr>
      <w:r w:rsidRPr="007C129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Dwa urządzenia </w:t>
      </w:r>
      <w:r w:rsidR="00F7759C" w:rsidRPr="007C129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NAS o minimalnych wymaganiach:</w:t>
      </w:r>
    </w:p>
    <w:tbl>
      <w:tblPr>
        <w:tblStyle w:val="Tabela-Siatka"/>
        <w:tblW w:w="9611" w:type="dxa"/>
        <w:tblInd w:w="-5" w:type="dxa"/>
        <w:tblLook w:val="04A0" w:firstRow="1" w:lastRow="0" w:firstColumn="1" w:lastColumn="0" w:noHBand="0" w:noVBand="1"/>
      </w:tblPr>
      <w:tblGrid>
        <w:gridCol w:w="3515"/>
        <w:gridCol w:w="6096"/>
      </w:tblGrid>
      <w:tr w:rsidR="00647C7C" w:rsidRPr="00647C7C" w14:paraId="499652B5" w14:textId="77777777" w:rsidTr="00970F87">
        <w:trPr>
          <w:trHeight w:val="383"/>
        </w:trPr>
        <w:tc>
          <w:tcPr>
            <w:tcW w:w="3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417C122D" w14:textId="61B70943" w:rsidR="00647C7C" w:rsidRPr="00647C7C" w:rsidRDefault="00647C7C" w:rsidP="00A27955">
            <w:pPr>
              <w:tabs>
                <w:tab w:val="center" w:pos="4680"/>
                <w:tab w:val="right" w:pos="9360"/>
              </w:tabs>
              <w:jc w:val="both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highlight w:val="black"/>
              </w:rPr>
            </w:pPr>
            <w:r w:rsidRPr="00647C7C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highlight w:val="black"/>
              </w:rPr>
              <w:t>Parametr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vAlign w:val="center"/>
          </w:tcPr>
          <w:p w14:paraId="4FD215AC" w14:textId="5B7D227C" w:rsidR="00647C7C" w:rsidRPr="00647C7C" w:rsidRDefault="00647C7C" w:rsidP="00A27955">
            <w:pPr>
              <w:jc w:val="both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647C7C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highlight w:val="black"/>
              </w:rPr>
              <w:t>Charakterystyka (wymagania minimalne)</w:t>
            </w:r>
          </w:p>
        </w:tc>
      </w:tr>
    </w:tbl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96"/>
      </w:tblGrid>
      <w:tr w:rsidR="00AC210F" w14:paraId="060ACE84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1CF0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Procesor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B58" w14:textId="1BE0E0A1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4-rdzeniowy, m</w:t>
            </w:r>
            <w:r w:rsidR="00970F87">
              <w:t>–</w:t>
            </w:r>
            <w:r>
              <w:t>in. 2.0 GHz</w:t>
            </w:r>
          </w:p>
        </w:tc>
      </w:tr>
      <w:tr w:rsidR="00AC210F" w14:paraId="03F761E5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637C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Pamięć RAM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7B77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4 GB DDR4</w:t>
            </w:r>
          </w:p>
        </w:tc>
      </w:tr>
      <w:tr w:rsidR="00AC210F" w14:paraId="348A1C4B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39E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Maks. wielkość pamięci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CB6F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6 GB</w:t>
            </w:r>
          </w:p>
        </w:tc>
      </w:tr>
      <w:tr w:rsidR="00AC210F" w14:paraId="47E61FE1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4137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Rodzaj pamięci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97E6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DDR4 SODIMM</w:t>
            </w:r>
          </w:p>
        </w:tc>
      </w:tr>
      <w:tr w:rsidR="00AC210F" w14:paraId="3CD1AFB6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E5F5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Liczba gniazd pamięci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E56F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1 slot SODIMM + pamięć wlutowana</w:t>
            </w:r>
          </w:p>
        </w:tc>
      </w:tr>
      <w:tr w:rsidR="00AC210F" w14:paraId="774F1450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B188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Liczba zainstalowanych dysków twardych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523" w14:textId="581A4BE0" w:rsidR="00AC210F" w:rsidRPr="00AC210F" w:rsidRDefault="00AC210F">
            <w:pPr>
              <w:spacing w:after="0" w:line="276" w:lineRule="auto"/>
            </w:pPr>
            <w:r>
              <w:t xml:space="preserve">2 x 4TB 5400 </w:t>
            </w:r>
            <w:proofErr w:type="spellStart"/>
            <w:r>
              <w:t>obr</w:t>
            </w:r>
            <w:proofErr w:type="spellEnd"/>
            <w:r>
              <w:t xml:space="preserve">./min, 256 MB cache, </w:t>
            </w:r>
            <w:r w:rsidR="00970F87">
              <w:t xml:space="preserve">3.5”, SATA III (6 </w:t>
            </w:r>
            <w:proofErr w:type="spellStart"/>
            <w:r w:rsidR="00970F87">
              <w:t>Gb</w:t>
            </w:r>
            <w:proofErr w:type="spellEnd"/>
            <w:r w:rsidR="00970F87">
              <w:t>/s)</w:t>
            </w:r>
            <w:r w:rsidR="00BA528D">
              <w:t>, MTBF min. 1 000 000 h</w:t>
            </w:r>
            <w:r w:rsidR="00970F87">
              <w:t xml:space="preserve"> </w:t>
            </w:r>
            <w:r>
              <w:t xml:space="preserve">przeznaczone do </w:t>
            </w:r>
            <w:r w:rsidR="00BA528D">
              <w:t xml:space="preserve">oferowanego </w:t>
            </w:r>
            <w:r>
              <w:t>NAS</w:t>
            </w:r>
            <w:r w:rsidR="00BA528D">
              <w:t xml:space="preserve"> potwierdzona przez producenta lub dokumentacją techniczną, przeznaczone do pracy ciągłej (24/7), gwarancja producenta min. 36 mies.</w:t>
            </w:r>
          </w:p>
        </w:tc>
      </w:tr>
      <w:tr w:rsidR="00AC210F" w14:paraId="40957678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E89" w14:textId="77777777" w:rsidR="00AC210F" w:rsidRPr="00BA528D" w:rsidRDefault="00AC210F">
            <w:pPr>
              <w:spacing w:after="0" w:line="276" w:lineRule="auto"/>
            </w:pPr>
            <w:r>
              <w:t>Min. liczba obsługiwanych dysków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FFC9" w14:textId="77777777" w:rsidR="00AC210F" w:rsidRPr="00BA528D" w:rsidRDefault="00AC210F">
            <w:pPr>
              <w:spacing w:after="0" w:line="276" w:lineRule="auto"/>
            </w:pPr>
            <w:r>
              <w:t>4 (hot-</w:t>
            </w:r>
            <w:proofErr w:type="spellStart"/>
            <w:r>
              <w:t>swap</w:t>
            </w:r>
            <w:proofErr w:type="spellEnd"/>
            <w:r>
              <w:t>)</w:t>
            </w:r>
          </w:p>
        </w:tc>
      </w:tr>
      <w:tr w:rsidR="00AC210F" w14:paraId="5370D1B7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B921" w14:textId="77777777" w:rsidR="00AC210F" w:rsidRPr="00BA528D" w:rsidRDefault="00AC210F">
            <w:pPr>
              <w:spacing w:after="0" w:line="276" w:lineRule="auto"/>
            </w:pPr>
            <w:r>
              <w:t>Format szerokości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F12B" w14:textId="77777777" w:rsidR="00AC210F" w:rsidRPr="00AC210F" w:rsidRDefault="00AC210F">
            <w:pPr>
              <w:spacing w:after="0" w:line="276" w:lineRule="auto"/>
            </w:pPr>
            <w:r>
              <w:t>zatoki LFF 3,5" (kompatybilne także z 2,5" HDD/SSD)</w:t>
            </w:r>
          </w:p>
        </w:tc>
      </w:tr>
      <w:tr w:rsidR="00AC210F" w14:paraId="68EB73A7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442E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Obsługiwane typy dysków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655D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3.5" SATA HDD, 2.5" SATA SSD</w:t>
            </w:r>
          </w:p>
        </w:tc>
      </w:tr>
      <w:tr w:rsidR="00AC210F" w14:paraId="39BA7DDE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C9D3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Interfejsy dysków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CAB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 xml:space="preserve">SATA III – 6 </w:t>
            </w:r>
            <w:proofErr w:type="spellStart"/>
            <w:r>
              <w:t>Gb</w:t>
            </w:r>
            <w:proofErr w:type="spellEnd"/>
            <w:r>
              <w:t>/s</w:t>
            </w:r>
          </w:p>
        </w:tc>
      </w:tr>
      <w:tr w:rsidR="00AC210F" w14:paraId="3D0A3382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8E02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Obsługa hot-</w:t>
            </w:r>
            <w:proofErr w:type="spellStart"/>
            <w:r>
              <w:t>swap</w:t>
            </w:r>
            <w:proofErr w:type="spellEnd"/>
            <w:r>
              <w:t xml:space="preserve"> dysków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CD5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Tak</w:t>
            </w:r>
          </w:p>
        </w:tc>
      </w:tr>
      <w:tr w:rsidR="00AC210F" w14:paraId="0FEEEC97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CAAF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RAID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67DA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Tak (RAID 0, 1, 5, 6, 10, SHR)</w:t>
            </w:r>
          </w:p>
        </w:tc>
      </w:tr>
      <w:tr w:rsidR="00AC210F" w14:paraId="7D138A72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20E4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Architektura sieci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A1F9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Gigabit Ethernet</w:t>
            </w:r>
          </w:p>
        </w:tc>
      </w:tr>
      <w:tr w:rsidR="00AC210F" w14:paraId="202521F8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3212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Interfejs sieciowy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C3B8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1 × RJ-45 1GbE (10/100/1000)</w:t>
            </w:r>
            <w:r>
              <w:br/>
              <w:t>1 × RJ-45 2.5GbE</w:t>
            </w:r>
          </w:p>
        </w:tc>
      </w:tr>
      <w:tr w:rsidR="00AC210F" w:rsidRPr="00A520F7" w14:paraId="4852C312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DC72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Gniazda we/wy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D87C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 w:rsidRPr="00AC210F">
              <w:rPr>
                <w:lang w:val="en-US"/>
              </w:rPr>
              <w:t>2 x USB 3.2 Gen 1, 2 x LAN RJ45</w:t>
            </w:r>
          </w:p>
        </w:tc>
      </w:tr>
      <w:tr w:rsidR="00AC210F" w14:paraId="4CC8551C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61F5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Obudowa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B45F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Tower (wolnostojąca)</w:t>
            </w:r>
          </w:p>
        </w:tc>
      </w:tr>
      <w:tr w:rsidR="00AC210F" w14:paraId="1EB43A96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00A5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Zasilanie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7BE2" w14:textId="77777777" w:rsidR="00AC210F" w:rsidRPr="00AC210F" w:rsidRDefault="00AC210F">
            <w:pPr>
              <w:spacing w:after="0" w:line="276" w:lineRule="auto"/>
            </w:pPr>
            <w:r>
              <w:t>Zasilacz zewnętrzny 90 W, AC 100–240 V</w:t>
            </w:r>
          </w:p>
        </w:tc>
      </w:tr>
      <w:tr w:rsidR="00AC210F" w14:paraId="64490E45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49CA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Poziom hałasu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DD3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 xml:space="preserve">Max. 21,6 </w:t>
            </w:r>
            <w:proofErr w:type="spellStart"/>
            <w:r>
              <w:t>dB</w:t>
            </w:r>
            <w:proofErr w:type="spellEnd"/>
            <w:r>
              <w:t>(A)</w:t>
            </w:r>
          </w:p>
        </w:tc>
      </w:tr>
      <w:tr w:rsidR="00AC210F" w:rsidRPr="00A520F7" w14:paraId="64BE86C6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5D02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Obsługiwane protokoły i funkcje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FDCE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 w:rsidRPr="00AC210F">
              <w:rPr>
                <w:lang w:val="en-US"/>
              </w:rPr>
              <w:t xml:space="preserve">SMB/CIFS, NFS, FTP, WebDAV, </w:t>
            </w:r>
            <w:proofErr w:type="spellStart"/>
            <w:r w:rsidRPr="00AC210F">
              <w:rPr>
                <w:lang w:val="en-US"/>
              </w:rPr>
              <w:t>Rsync</w:t>
            </w:r>
            <w:proofErr w:type="spellEnd"/>
            <w:r w:rsidRPr="00AC210F">
              <w:rPr>
                <w:lang w:val="en-US"/>
              </w:rPr>
              <w:t>, Snapshot Replication, Active Backup for Business (</w:t>
            </w:r>
            <w:proofErr w:type="spellStart"/>
            <w:r w:rsidRPr="00AC210F">
              <w:rPr>
                <w:lang w:val="en-US"/>
              </w:rPr>
              <w:t>wymaga</w:t>
            </w:r>
            <w:proofErr w:type="spellEnd"/>
            <w:r w:rsidRPr="00AC210F">
              <w:rPr>
                <w:lang w:val="en-US"/>
              </w:rPr>
              <w:t xml:space="preserve"> min. 4 GB RAM)</w:t>
            </w:r>
          </w:p>
        </w:tc>
      </w:tr>
      <w:tr w:rsidR="00AC210F" w14:paraId="79C81355" w14:textId="77777777" w:rsidTr="00970F8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9F2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Gwarancja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B7F6" w14:textId="77777777" w:rsidR="00AC210F" w:rsidRDefault="00AC210F">
            <w:pPr>
              <w:spacing w:after="0" w:line="276" w:lineRule="auto"/>
              <w:rPr>
                <w:lang w:val="en-US"/>
              </w:rPr>
            </w:pPr>
            <w:r>
              <w:t>min. 60 miesięcy</w:t>
            </w:r>
          </w:p>
        </w:tc>
      </w:tr>
    </w:tbl>
    <w:p w14:paraId="61B631A3" w14:textId="77777777" w:rsidR="006B1180" w:rsidRPr="007C129D" w:rsidRDefault="006B1180" w:rsidP="006B118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285F28" w14:textId="40ABD105" w:rsidR="006B1180" w:rsidRPr="00811B6E" w:rsidRDefault="00D56352" w:rsidP="00D56352">
      <w:pPr>
        <w:pStyle w:val="Nagwek2"/>
      </w:pPr>
      <w:r>
        <w:t xml:space="preserve">6.3. </w:t>
      </w:r>
      <w:r w:rsidR="006B1180" w:rsidRPr="00811B6E">
        <w:t xml:space="preserve">Dostawa firewall dla jednostek podległych </w:t>
      </w:r>
      <w:r w:rsidR="003E1F7B">
        <w:t>– 3 szt.</w:t>
      </w:r>
    </w:p>
    <w:p w14:paraId="5F49D6DE" w14:textId="62EFD338" w:rsidR="006B1180" w:rsidRDefault="007C129D" w:rsidP="00A27955">
      <w:pPr>
        <w:jc w:val="both"/>
        <w:rPr>
          <w:rFonts w:asciiTheme="minorHAnsi" w:hAnsiTheme="minorHAnsi" w:cstheme="minorHAnsi"/>
          <w:sz w:val="20"/>
          <w:szCs w:val="20"/>
        </w:rPr>
      </w:pPr>
      <w:r w:rsidRPr="007C129D">
        <w:rPr>
          <w:rFonts w:asciiTheme="minorHAnsi" w:hAnsiTheme="minorHAnsi" w:cstheme="minorHAnsi"/>
          <w:sz w:val="20"/>
          <w:szCs w:val="20"/>
        </w:rPr>
        <w:t xml:space="preserve">Firewall muszą zostać dostarczone i wdrożone w </w:t>
      </w:r>
      <w:r w:rsidR="003E1F7B">
        <w:rPr>
          <w:rFonts w:asciiTheme="minorHAnsi" w:hAnsiTheme="minorHAnsi" w:cstheme="minorHAnsi"/>
          <w:sz w:val="20"/>
          <w:szCs w:val="20"/>
        </w:rPr>
        <w:t>trzech</w:t>
      </w:r>
      <w:r w:rsidRPr="007C129D">
        <w:rPr>
          <w:rFonts w:asciiTheme="minorHAnsi" w:hAnsiTheme="minorHAnsi" w:cstheme="minorHAnsi"/>
          <w:sz w:val="20"/>
          <w:szCs w:val="20"/>
        </w:rPr>
        <w:t xml:space="preserve"> jednostkach podległych Zamawiającego (CUW, OPS oraz DPS),</w:t>
      </w:r>
    </w:p>
    <w:p w14:paraId="7640DC8C" w14:textId="1D5D2E56" w:rsidR="007F1A43" w:rsidRPr="004D518B" w:rsidRDefault="007F1A43" w:rsidP="00A27955">
      <w:pPr>
        <w:jc w:val="both"/>
        <w:rPr>
          <w:rFonts w:asciiTheme="minorHAnsi" w:hAnsiTheme="minorHAnsi" w:cstheme="minorHAnsi"/>
          <w:sz w:val="20"/>
          <w:szCs w:val="20"/>
        </w:rPr>
      </w:pPr>
      <w:r w:rsidRPr="004D518B">
        <w:rPr>
          <w:sz w:val="20"/>
          <w:szCs w:val="20"/>
        </w:rPr>
        <w:t>Zamawiający dopuszcza składanie ofert równoważnych, spełniających wszystkie opisane poniżej wymagania minimalne.</w:t>
      </w:r>
    </w:p>
    <w:p w14:paraId="5D2C9D30" w14:textId="413A87B8" w:rsidR="007F1A43" w:rsidRPr="004D518B" w:rsidRDefault="007F1A43" w:rsidP="007F1A43">
      <w:pPr>
        <w:rPr>
          <w:sz w:val="20"/>
          <w:szCs w:val="20"/>
        </w:rPr>
      </w:pPr>
      <w:r w:rsidRPr="004D518B">
        <w:rPr>
          <w:sz w:val="20"/>
          <w:szCs w:val="20"/>
        </w:rPr>
        <w:t>Wszystkie oferowane komponenty muszą być fabrycznie nowe, nieużywane, nieodnawiane, pochodzące z legalnego kanału dystrybucji na rynek polski.</w:t>
      </w:r>
      <w:r w:rsidRPr="004D518B">
        <w:rPr>
          <w:sz w:val="20"/>
          <w:szCs w:val="20"/>
        </w:rPr>
        <w:br/>
        <w:t>Minimalne wymagania techniczne dla urządzenia klasy UTM (urządzenie klasy UTM z licencją typu UTP lub równoważną)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510"/>
        <w:gridCol w:w="6096"/>
      </w:tblGrid>
      <w:tr w:rsidR="007F1A43" w14:paraId="2D7A2CE5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13971FBE" w14:textId="77777777" w:rsidR="007F1A43" w:rsidRDefault="007F1A43">
            <w:pPr>
              <w:spacing w:line="240" w:lineRule="auto"/>
              <w:rPr>
                <w:lang w:val="en-US" w:eastAsia="en-US"/>
              </w:rPr>
            </w:pPr>
            <w:r>
              <w:t>Parametr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27A985AE" w14:textId="77777777" w:rsidR="007F1A43" w:rsidRDefault="007F1A43">
            <w:pPr>
              <w:spacing w:line="240" w:lineRule="auto"/>
              <w:rPr>
                <w:lang w:val="en-US" w:eastAsia="en-US"/>
              </w:rPr>
            </w:pPr>
            <w:r>
              <w:t>Wymagania minimalne / Specyfikacja</w:t>
            </w:r>
          </w:p>
        </w:tc>
      </w:tr>
      <w:tr w:rsidR="004D518B" w14:paraId="0BF993EB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740E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Typ urządzenia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F1C4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Zintegrowany system ochrony sieci (UTM) z funkcjami NGFW i SD-WAN</w:t>
            </w:r>
          </w:p>
        </w:tc>
      </w:tr>
      <w:tr w:rsidR="004D518B" w14:paraId="556A1A2A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C31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Forma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71A8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Obudowa desktop (wolnostojąca)</w:t>
            </w:r>
          </w:p>
        </w:tc>
      </w:tr>
      <w:tr w:rsidR="004D518B" w14:paraId="0F3F450B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A46F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Firewall </w:t>
            </w:r>
            <w:proofErr w:type="spellStart"/>
            <w:r>
              <w:t>throughput</w:t>
            </w:r>
            <w:proofErr w:type="spellEnd"/>
            <w:r>
              <w:t xml:space="preserve"> (IPv4)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14BD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min. 5 </w:t>
            </w:r>
            <w:proofErr w:type="spellStart"/>
            <w:r>
              <w:t>Gbps</w:t>
            </w:r>
            <w:proofErr w:type="spellEnd"/>
          </w:p>
        </w:tc>
      </w:tr>
      <w:tr w:rsidR="004D518B" w14:paraId="72E8B87E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2F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IPS </w:t>
            </w:r>
            <w:proofErr w:type="spellStart"/>
            <w:r>
              <w:t>throughput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78CA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min. 1 </w:t>
            </w:r>
            <w:proofErr w:type="spellStart"/>
            <w:r>
              <w:t>Gbps</w:t>
            </w:r>
            <w:proofErr w:type="spellEnd"/>
          </w:p>
        </w:tc>
      </w:tr>
      <w:tr w:rsidR="004D518B" w14:paraId="4BEC8B08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B52E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NGFW </w:t>
            </w:r>
            <w:proofErr w:type="spellStart"/>
            <w:r>
              <w:t>throughput</w:t>
            </w:r>
            <w:proofErr w:type="spellEnd"/>
            <w:r>
              <w:t xml:space="preserve"> (IPS + </w:t>
            </w:r>
            <w:proofErr w:type="spellStart"/>
            <w:r>
              <w:t>AppCtrl</w:t>
            </w:r>
            <w:proofErr w:type="spellEnd"/>
            <w: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85D9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min. 800 </w:t>
            </w:r>
            <w:proofErr w:type="spellStart"/>
            <w:r>
              <w:t>Mbps</w:t>
            </w:r>
            <w:proofErr w:type="spellEnd"/>
          </w:p>
        </w:tc>
      </w:tr>
      <w:tr w:rsidR="004D518B" w14:paraId="4AC1A305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8A66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 w:rsidRPr="004D518B">
              <w:rPr>
                <w:lang w:val="en-US"/>
              </w:rPr>
              <w:t xml:space="preserve">Threat Protection throughput (IPS + AV + </w:t>
            </w:r>
            <w:proofErr w:type="spellStart"/>
            <w:r w:rsidRPr="004D518B">
              <w:rPr>
                <w:lang w:val="en-US"/>
              </w:rPr>
              <w:t>AppCtrl</w:t>
            </w:r>
            <w:proofErr w:type="spellEnd"/>
            <w:r w:rsidRPr="004D518B">
              <w:rPr>
                <w:lang w:val="en-US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3DD9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min. 600 </w:t>
            </w:r>
            <w:proofErr w:type="spellStart"/>
            <w:r>
              <w:t>Mbps</w:t>
            </w:r>
            <w:proofErr w:type="spellEnd"/>
          </w:p>
        </w:tc>
      </w:tr>
      <w:tr w:rsidR="004D518B" w14:paraId="14859BF9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D3F5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proofErr w:type="spellStart"/>
            <w:r>
              <w:t>IPSec</w:t>
            </w:r>
            <w:proofErr w:type="spellEnd"/>
            <w:r>
              <w:t xml:space="preserve"> VPN </w:t>
            </w:r>
            <w:proofErr w:type="spellStart"/>
            <w:r>
              <w:t>throughput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0903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min. 4.4 </w:t>
            </w:r>
            <w:proofErr w:type="spellStart"/>
            <w:r>
              <w:t>Gbps</w:t>
            </w:r>
            <w:proofErr w:type="spellEnd"/>
          </w:p>
        </w:tc>
      </w:tr>
      <w:tr w:rsidR="004D518B" w14:paraId="27FC49B1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6344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SSL </w:t>
            </w:r>
            <w:proofErr w:type="spellStart"/>
            <w:r>
              <w:t>Inspection</w:t>
            </w:r>
            <w:proofErr w:type="spellEnd"/>
            <w:r>
              <w:t xml:space="preserve"> </w:t>
            </w:r>
            <w:proofErr w:type="spellStart"/>
            <w:r>
              <w:t>throughput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104D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min. 310 </w:t>
            </w:r>
            <w:proofErr w:type="spellStart"/>
            <w:r>
              <w:t>Mbps</w:t>
            </w:r>
            <w:proofErr w:type="spellEnd"/>
          </w:p>
        </w:tc>
      </w:tr>
      <w:tr w:rsidR="004D518B" w14:paraId="5E1039DE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E79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Jednoczesne połączenia (</w:t>
            </w:r>
            <w:proofErr w:type="spellStart"/>
            <w:r>
              <w:t>concurrent</w:t>
            </w:r>
            <w:proofErr w:type="spellEnd"/>
            <w:r>
              <w:t xml:space="preserve"> </w:t>
            </w:r>
            <w:proofErr w:type="spellStart"/>
            <w:r>
              <w:t>sessions</w:t>
            </w:r>
            <w:proofErr w:type="spellEnd"/>
            <w: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9342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min. 700 000</w:t>
            </w:r>
          </w:p>
        </w:tc>
      </w:tr>
      <w:tr w:rsidR="004D518B" w14:paraId="0C4844AA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342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Nowe połączenia na sekundę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FD40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min. 35 000</w:t>
            </w:r>
          </w:p>
        </w:tc>
      </w:tr>
      <w:tr w:rsidR="004D518B" w14:paraId="3FAC5C0F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DB04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Firewall </w:t>
            </w:r>
            <w:proofErr w:type="spellStart"/>
            <w:r>
              <w:t>policies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F734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min. 2000</w:t>
            </w:r>
          </w:p>
        </w:tc>
      </w:tr>
      <w:tr w:rsidR="004D518B" w14:paraId="48DAD851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0F1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VPN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810F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 xml:space="preserve">Obsługa </w:t>
            </w:r>
            <w:proofErr w:type="spellStart"/>
            <w:r>
              <w:t>IPSec</w:t>
            </w:r>
            <w:proofErr w:type="spellEnd"/>
            <w:r>
              <w:t xml:space="preserve"> </w:t>
            </w:r>
            <w:proofErr w:type="spellStart"/>
            <w:r>
              <w:t>site</w:t>
            </w:r>
            <w:proofErr w:type="spellEnd"/>
            <w:r>
              <w:t>-to-</w:t>
            </w:r>
            <w:proofErr w:type="spellStart"/>
            <w:r>
              <w:t>site</w:t>
            </w:r>
            <w:proofErr w:type="spellEnd"/>
            <w:r>
              <w:t xml:space="preserve"> (min. 200 tuneli), </w:t>
            </w:r>
            <w:proofErr w:type="spellStart"/>
            <w:r>
              <w:t>client</w:t>
            </w:r>
            <w:proofErr w:type="spellEnd"/>
            <w:r>
              <w:t>-to-</w:t>
            </w:r>
            <w:proofErr w:type="spellStart"/>
            <w:r>
              <w:t>site</w:t>
            </w:r>
            <w:proofErr w:type="spellEnd"/>
            <w:r>
              <w:t xml:space="preserve"> (min. 250 użytkowników), </w:t>
            </w:r>
          </w:p>
        </w:tc>
      </w:tr>
      <w:tr w:rsidR="004D518B" w14:paraId="229E89F1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7A4A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Interfejsy sieciowe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1AB7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 xml:space="preserve">min. 5 × port RJ-45 Ethernet o przepustowości co najmniej 1 </w:t>
            </w:r>
            <w:proofErr w:type="spellStart"/>
            <w:r>
              <w:t>Gb</w:t>
            </w:r>
            <w:proofErr w:type="spellEnd"/>
            <w:r>
              <w:t>/s (1GbE lub wyższa), w tym min. 1 × WAN i min. 3 × LAN, lub równoważne</w:t>
            </w:r>
          </w:p>
        </w:tc>
      </w:tr>
      <w:tr w:rsidR="004D518B" w14:paraId="4D56F7B0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A384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Porty dodatkowe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C4F0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1 x USB, 1 × port konsoli (RJ45 lub USB) lub równoważny</w:t>
            </w:r>
          </w:p>
        </w:tc>
      </w:tr>
      <w:tr w:rsidR="004D518B" w14:paraId="028308A6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063D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Routing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09D6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Routing statyczny i dynamiczny (OSPF, BGP, Policy-</w:t>
            </w:r>
            <w:proofErr w:type="spellStart"/>
            <w:r>
              <w:t>based</w:t>
            </w:r>
            <w:proofErr w:type="spellEnd"/>
            <w:r>
              <w:t>) w zakresie IPv4 i IPv6 (jeżeli dotyczy środowiska)</w:t>
            </w:r>
          </w:p>
        </w:tc>
      </w:tr>
      <w:tr w:rsidR="004D518B" w14:paraId="099DB184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ABA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Uwierzytelnianie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3B24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LDAP, AD, RADIUS, obsługa 2FA dla dostępu administracyjnego</w:t>
            </w:r>
          </w:p>
        </w:tc>
      </w:tr>
      <w:tr w:rsidR="004D518B" w14:paraId="312142ED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DBD7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Zarządzanie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423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GUI (WWW), CLI (SSH), zarządzanie lokalne oraz możliwość zarządzania centralnego (on-</w:t>
            </w:r>
            <w:proofErr w:type="spellStart"/>
            <w:r>
              <w:t>prem</w:t>
            </w:r>
            <w:proofErr w:type="spellEnd"/>
            <w:r>
              <w:t xml:space="preserve"> lub chmurowego) przez system klasy manager (opcjonalnie), lub równoważne</w:t>
            </w:r>
          </w:p>
        </w:tc>
      </w:tr>
      <w:tr w:rsidR="004D518B" w14:paraId="2AF3F80B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144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Zasilanie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8F60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Zasilacz zewnętrzny 100–240V AC, 50/60Hz (12V DC, 3A)</w:t>
            </w:r>
          </w:p>
        </w:tc>
      </w:tr>
      <w:tr w:rsidR="004D518B" w14:paraId="47915BAB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13D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Wymiary i waga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9CB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urządzenie klasy desktop/</w:t>
            </w:r>
            <w:proofErr w:type="spellStart"/>
            <w:r>
              <w:t>fanless</w:t>
            </w:r>
            <w:proofErr w:type="spellEnd"/>
            <w:r>
              <w:t>, masa ≤ 2 kg, wymiary umożliwiające instalację na biurku/półce</w:t>
            </w:r>
          </w:p>
        </w:tc>
      </w:tr>
      <w:tr w:rsidR="004D518B" w14:paraId="1E28B8A7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90C1" w14:textId="77777777" w:rsidR="004D518B" w:rsidRPr="004D518B" w:rsidRDefault="004D518B">
            <w:pPr>
              <w:spacing w:line="240" w:lineRule="auto"/>
              <w:rPr>
                <w:lang w:eastAsia="en-US"/>
              </w:rPr>
            </w:pPr>
            <w:r>
              <w:t>Licencja/subskrypcja zabezpieczeń (lub równoważna)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0998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Pakiet usług bezpieczeństwa obejmujący co najmniej: wsparcie 24/7 (serwis i aktualizacje), ochronę przed atakami (IPS), ochronę antywirusową (AV), filtrowanie treści i stron WWW (URL </w:t>
            </w:r>
            <w:proofErr w:type="spellStart"/>
            <w:r>
              <w:t>filtering</w:t>
            </w:r>
            <w:proofErr w:type="spellEnd"/>
            <w:r>
              <w:t>) lub równoważne, kontrolę aplikacji (Application Control) lub równoważne, ochronę przed spamem, analiza plików/URL pod kątem zero-</w:t>
            </w:r>
            <w:proofErr w:type="spellStart"/>
            <w:r>
              <w:t>day</w:t>
            </w:r>
            <w:proofErr w:type="spellEnd"/>
            <w:r>
              <w:t xml:space="preserve"> (</w:t>
            </w:r>
            <w:proofErr w:type="spellStart"/>
            <w:r>
              <w:t>sandbox</w:t>
            </w:r>
            <w:proofErr w:type="spellEnd"/>
            <w:r>
              <w:t>) – lokalnie lub w chmurze – z automatycznym werdyktem/blokadą oraz logiem zdarzeń, funkcję oceny konfiguracji bezpieczeństwa (</w:t>
            </w:r>
            <w:proofErr w:type="spellStart"/>
            <w:r>
              <w:t>posture</w:t>
            </w:r>
            <w:proofErr w:type="spellEnd"/>
            <w:r>
              <w:t xml:space="preserve"> </w:t>
            </w:r>
            <w:proofErr w:type="spellStart"/>
            <w:r>
              <w:t>assessment</w:t>
            </w:r>
            <w:proofErr w:type="spellEnd"/>
            <w:r>
              <w:t>) z raportem oraz rekomendacjami działań korygujących, lub równoważne. Subskrypcja musi być zintegrowana z oferowanym urządzeniem.</w:t>
            </w:r>
          </w:p>
        </w:tc>
      </w:tr>
      <w:tr w:rsidR="004D518B" w14:paraId="646C9704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AD7F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Certyfikaty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97E9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 xml:space="preserve">CE + </w:t>
            </w:r>
            <w:proofErr w:type="spellStart"/>
            <w:r>
              <w:t>RoHS</w:t>
            </w:r>
            <w:proofErr w:type="spellEnd"/>
          </w:p>
        </w:tc>
      </w:tr>
      <w:tr w:rsidR="004D518B" w14:paraId="7769D21B" w14:textId="77777777" w:rsidTr="004D5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5855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Gwarancja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9397" w14:textId="77777777" w:rsidR="004D518B" w:rsidRDefault="004D518B">
            <w:pPr>
              <w:spacing w:line="240" w:lineRule="auto"/>
              <w:rPr>
                <w:lang w:val="en-US" w:eastAsia="en-US"/>
              </w:rPr>
            </w:pPr>
            <w:r>
              <w:t>Min. 36 miesięcy</w:t>
            </w:r>
          </w:p>
        </w:tc>
      </w:tr>
    </w:tbl>
    <w:p w14:paraId="033F679B" w14:textId="77777777" w:rsidR="007F1A43" w:rsidRDefault="007F1A43" w:rsidP="007F1A43">
      <w:r>
        <w:t>Parametry wydajnościowe (</w:t>
      </w:r>
      <w:proofErr w:type="spellStart"/>
      <w:r>
        <w:t>throughput</w:t>
      </w:r>
      <w:proofErr w:type="spellEnd"/>
      <w:r>
        <w:t>) zgodnie z metodologią producenta dla oferowanego modelu.</w:t>
      </w:r>
    </w:p>
    <w:p w14:paraId="32764454" w14:textId="77777777" w:rsidR="007F1A43" w:rsidRDefault="007F1A43" w:rsidP="007F1A43">
      <w:pPr>
        <w:pStyle w:val="Nagwek2"/>
      </w:pPr>
      <w:r>
        <w:t>Uwagi dotyczące wdrożenia urządzenia Firewall:</w:t>
      </w:r>
    </w:p>
    <w:p w14:paraId="7E282BFF" w14:textId="77777777" w:rsidR="007F1A43" w:rsidRDefault="007F1A43" w:rsidP="007F1A43">
      <w:pPr>
        <w:jc w:val="both"/>
      </w:pPr>
      <w:r>
        <w:t>Urządzenia UTM muszą zostać dostarczone, uruchomione i skonfigurowane w trzech jednostkach podległych Zamawiającego (CUW, OPS oraz DPS).</w:t>
      </w:r>
    </w:p>
    <w:p w14:paraId="662CD28A" w14:textId="7D52C0A1" w:rsidR="007F1A43" w:rsidRDefault="007F1A43" w:rsidP="007F1A43">
      <w:pPr>
        <w:jc w:val="both"/>
      </w:pPr>
      <w:r>
        <w:t>Wdrożenie obejmuje co najmniej: montaż/posadowienie, podłączenie, konfigurację interfejsów WAN/LAN, konfigurację podstawowych polityk bezpieczeństwa, konfigurację VPN z UTM Urzędu Miasta i Gminy, aktywację i weryfikację usług subskrypcyjnych oraz test poprawności działania.</w:t>
      </w:r>
    </w:p>
    <w:p w14:paraId="6095F08A" w14:textId="77777777" w:rsidR="007F1A43" w:rsidRDefault="007F1A43" w:rsidP="007F1A43">
      <w:pPr>
        <w:jc w:val="both"/>
      </w:pPr>
      <w:r>
        <w:t>Za wykonanie wdrożenia uznaje się zakończenie prac protokołem odbioru dla każdej lokalizacji.</w:t>
      </w:r>
    </w:p>
    <w:p w14:paraId="7339DA5C" w14:textId="77777777" w:rsidR="007F1A43" w:rsidRDefault="007F1A43" w:rsidP="007F1A43">
      <w:pPr>
        <w:pStyle w:val="Nagwek2"/>
      </w:pPr>
      <w:r>
        <w:t>Uwagi dotyczące równoważności subskrypcji/licencji:</w:t>
      </w:r>
    </w:p>
    <w:p w14:paraId="1A3BAE71" w14:textId="77777777" w:rsidR="007F1A43" w:rsidRDefault="007F1A43" w:rsidP="007F1A43">
      <w:pPr>
        <w:jc w:val="both"/>
        <w:rPr>
          <w:b/>
          <w:bCs/>
        </w:rPr>
      </w:pPr>
      <w:r>
        <w:rPr>
          <w:b/>
          <w:bCs/>
        </w:rPr>
        <w:t>Subskrypcja bezpieczeństwa</w:t>
      </w:r>
    </w:p>
    <w:p w14:paraId="0D7B01C6" w14:textId="7E9FF67F" w:rsidR="007F1A43" w:rsidRDefault="007F1A43" w:rsidP="007F1A43">
      <w:pPr>
        <w:jc w:val="both"/>
      </w:pPr>
      <w:r>
        <w:t>Oferowana subskrypcja musi być powiązana z urządzeniem UTM i zapewniać kompleksowy zakres ochrony, obejmujący co najmniej:</w:t>
      </w:r>
    </w:p>
    <w:p w14:paraId="03CA68CA" w14:textId="77777777" w:rsidR="007F1A43" w:rsidRDefault="007F1A43" w:rsidP="007F1A43">
      <w:r>
        <w:t>- Subskrypcja na okres min. 12 miesięcy od daty aktywacji,</w:t>
      </w:r>
      <w:r>
        <w:br/>
        <w:t>- start subskrypcji nie wcześniej niż w dniu odbioru (lub: od daty rejestracji przez Zamawiającego),</w:t>
      </w:r>
      <w:r>
        <w:br/>
        <w:t>- subskrypcja musi być przypisana do urządzenia i umożliwiać automatyczne aktualizacje baz sygnatur oraz oprogramowania w okresie ważności subskrypcji,</w:t>
      </w:r>
      <w:r>
        <w:br/>
        <w:t>- wsparcie techniczne 24/7,</w:t>
      </w:r>
      <w:r>
        <w:br/>
        <w:t>- ochrona przed atakami sieciowymi (IPS),</w:t>
      </w:r>
      <w:r>
        <w:br/>
        <w:t>- ochrona antywirusowa i antyspamowa,</w:t>
      </w:r>
      <w:r>
        <w:br/>
        <w:t xml:space="preserve">- filtrowanie stron WWW (URL </w:t>
      </w:r>
      <w:proofErr w:type="spellStart"/>
      <w:r>
        <w:t>filtering</w:t>
      </w:r>
      <w:proofErr w:type="spellEnd"/>
      <w:r>
        <w:t>) lub równoważne,</w:t>
      </w:r>
      <w:r>
        <w:br/>
        <w:t>- kontrola aplikacji (Application Control) lub równoważne,</w:t>
      </w:r>
      <w:r>
        <w:br/>
        <w:t>- analiza nieznanych zagrożeń (</w:t>
      </w:r>
      <w:proofErr w:type="spellStart"/>
      <w:r>
        <w:t>sandboxing</w:t>
      </w:r>
      <w:proofErr w:type="spellEnd"/>
      <w:r>
        <w:t>),</w:t>
      </w:r>
      <w:r>
        <w:br/>
        <w:t>- funkcja oceny konfiguracji bezpieczeństwa (</w:t>
      </w:r>
      <w:proofErr w:type="spellStart"/>
      <w:r>
        <w:t>posture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>) z raportem oraz rekomendacjami działań korygujących.</w:t>
      </w:r>
    </w:p>
    <w:p w14:paraId="7D757222" w14:textId="6292033E" w:rsidR="007F1A43" w:rsidRPr="00A27955" w:rsidRDefault="007F1A43" w:rsidP="007F1A43">
      <w:pPr>
        <w:jc w:val="both"/>
        <w:rPr>
          <w:rFonts w:asciiTheme="minorHAnsi" w:hAnsiTheme="minorHAnsi" w:cstheme="minorHAnsi"/>
          <w:sz w:val="20"/>
          <w:szCs w:val="20"/>
        </w:rPr>
      </w:pPr>
      <w:r>
        <w:t>Oferowane rozwiązanie równoważne musi zapewniać porównywalny poziom ochrony i funkcjonalności oraz być zintegrowane z oferowanym urządzeniem.</w:t>
      </w:r>
    </w:p>
    <w:sectPr w:rsidR="007F1A43" w:rsidRPr="00A27955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29E36" w14:textId="77777777" w:rsidR="00AA5A1C" w:rsidRPr="00C8507F" w:rsidRDefault="00AA5A1C" w:rsidP="0013341D">
      <w:pPr>
        <w:spacing w:after="0" w:line="240" w:lineRule="auto"/>
      </w:pPr>
      <w:r w:rsidRPr="00C8507F">
        <w:separator/>
      </w:r>
    </w:p>
  </w:endnote>
  <w:endnote w:type="continuationSeparator" w:id="0">
    <w:p w14:paraId="2D0BA22F" w14:textId="77777777" w:rsidR="00AA5A1C" w:rsidRPr="00C8507F" w:rsidRDefault="00AA5A1C" w:rsidP="0013341D">
      <w:pPr>
        <w:spacing w:after="0" w:line="240" w:lineRule="auto"/>
      </w:pPr>
      <w:r w:rsidRPr="00C850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ll Replic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814FB" w14:textId="77777777" w:rsidR="00AA5A1C" w:rsidRPr="00114DA4" w:rsidRDefault="00AA5A1C" w:rsidP="00CF6545">
    <w:pPr>
      <w:tabs>
        <w:tab w:val="center" w:pos="4536"/>
        <w:tab w:val="right" w:pos="9072"/>
      </w:tabs>
      <w:spacing w:after="0" w:line="240" w:lineRule="auto"/>
      <w:rPr>
        <w:rFonts w:cs="Times New Roman"/>
      </w:rPr>
    </w:pPr>
    <w:r>
      <w:rPr>
        <w:rFonts w:cs="Times New Roman"/>
        <w:sz w:val="16"/>
        <w:szCs w:val="16"/>
      </w:rPr>
      <w:t xml:space="preserve">Projekt współfinansowany </w:t>
    </w:r>
    <w:bookmarkStart w:id="12" w:name="_Hlk175202330"/>
    <w:r>
      <w:rPr>
        <w:rFonts w:cs="Times New Roman"/>
        <w:sz w:val="16"/>
        <w:szCs w:val="16"/>
      </w:rPr>
      <w:t xml:space="preserve">z </w:t>
    </w:r>
    <w:bookmarkStart w:id="13" w:name="_Hlk175137362"/>
    <w:r>
      <w:rPr>
        <w:rFonts w:cs="Times New Roman"/>
        <w:sz w:val="16"/>
        <w:szCs w:val="16"/>
      </w:rPr>
      <w:t>Funduszy Europejskich na Rozwój Cyfrowy 2021-2027 (FERC), Priorytet II: Zaawansowane usługi cyfrowe Działanie 2.2 Wzmocnienie krajowego systemu cyberbezpieczeństwa</w:t>
    </w:r>
    <w:bookmarkEnd w:id="12"/>
    <w:bookmarkEnd w:id="13"/>
    <w:r>
      <w:rPr>
        <w:rFonts w:cs="Times New Roman"/>
        <w:sz w:val="16"/>
        <w:szCs w:val="16"/>
      </w:rPr>
      <w:t>, konkurs grantowy w ramach Projektu grantowego „Cyberbezpieczny Samorząd” o numerze FERC.02.02-CS.01-001/23</w:t>
    </w:r>
  </w:p>
  <w:p w14:paraId="7A27CF53" w14:textId="77777777" w:rsidR="00AA5A1C" w:rsidRDefault="00AA5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977F0" w14:textId="77777777" w:rsidR="00AA5A1C" w:rsidRPr="00C8507F" w:rsidRDefault="00AA5A1C" w:rsidP="0013341D">
      <w:pPr>
        <w:spacing w:after="0" w:line="240" w:lineRule="auto"/>
      </w:pPr>
      <w:r w:rsidRPr="00C8507F">
        <w:separator/>
      </w:r>
    </w:p>
  </w:footnote>
  <w:footnote w:type="continuationSeparator" w:id="0">
    <w:p w14:paraId="562FD382" w14:textId="77777777" w:rsidR="00AA5A1C" w:rsidRPr="00C8507F" w:rsidRDefault="00AA5A1C" w:rsidP="0013341D">
      <w:pPr>
        <w:spacing w:after="0" w:line="240" w:lineRule="auto"/>
      </w:pPr>
      <w:r w:rsidRPr="00C850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F2D99" w14:textId="3CD0F8D5" w:rsidR="00AA5A1C" w:rsidRPr="001F35F1" w:rsidRDefault="00AA5A1C" w:rsidP="001F35F1">
    <w:pPr>
      <w:pStyle w:val="Nagwek"/>
      <w:rPr>
        <w:lang w:val="x-none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  <w:bookmarkStart w:id="7" w:name="_Hlk214898544"/>
    <w:r w:rsidRPr="001F35F1">
      <w:rPr>
        <w:noProof/>
        <w:lang w:eastAsia="pl-PL"/>
      </w:rPr>
      <w:drawing>
        <wp:inline distT="0" distB="0" distL="0" distR="0" wp14:anchorId="0703A28A" wp14:editId="053E29A9">
          <wp:extent cx="5753100" cy="596900"/>
          <wp:effectExtent l="0" t="0" r="0" b="0"/>
          <wp:docPr id="5105272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</w:p>
  <w:p w14:paraId="77051986" w14:textId="77777777" w:rsidR="00AA5A1C" w:rsidRPr="001F35F1" w:rsidRDefault="00AA5A1C" w:rsidP="001F35F1">
    <w:pPr>
      <w:pStyle w:val="Nagwek"/>
      <w:rPr>
        <w:b/>
      </w:rPr>
    </w:pPr>
    <w:bookmarkStart w:id="8" w:name="_Hlk210835080"/>
    <w:bookmarkStart w:id="9" w:name="_Hlk210835081"/>
    <w:bookmarkStart w:id="10" w:name="_Hlk210835083"/>
    <w:bookmarkStart w:id="11" w:name="_Hlk210835084"/>
  </w:p>
  <w:p w14:paraId="3BB992D8" w14:textId="4E075286" w:rsidR="00AA5A1C" w:rsidRDefault="00AA5A1C" w:rsidP="009F579A">
    <w:pPr>
      <w:pStyle w:val="Nagwek"/>
      <w:spacing w:after="240"/>
    </w:pPr>
    <w:r w:rsidRPr="001F35F1">
      <w:rPr>
        <w:b/>
      </w:rPr>
      <w:t>Numer referencyjny:</w:t>
    </w:r>
    <w:bookmarkEnd w:id="7"/>
    <w:bookmarkEnd w:id="8"/>
    <w:bookmarkEnd w:id="9"/>
    <w:bookmarkEnd w:id="10"/>
    <w:bookmarkEnd w:id="11"/>
    <w:r w:rsidR="004F5DCB" w:rsidRPr="004F5DCB">
      <w:rPr>
        <w:rFonts w:ascii="Cambria" w:hAnsi="Cambria"/>
        <w:b/>
        <w:sz w:val="20"/>
        <w:szCs w:val="20"/>
      </w:rPr>
      <w:t xml:space="preserve"> </w:t>
    </w:r>
    <w:r w:rsidR="004F5DCB">
      <w:rPr>
        <w:rFonts w:ascii="Cambria" w:hAnsi="Cambria"/>
        <w:b/>
        <w:sz w:val="20"/>
        <w:szCs w:val="20"/>
      </w:rPr>
      <w:t>LG.271.1.2026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44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93186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9B403C"/>
    <w:multiLevelType w:val="hybridMultilevel"/>
    <w:tmpl w:val="1E8C2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A6C2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2AB7B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33705F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0495081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60F18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53407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098F581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09DB4A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DF64165"/>
    <w:multiLevelType w:val="hybridMultilevel"/>
    <w:tmpl w:val="31168C0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7F56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0F8C1FF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12822988"/>
    <w:multiLevelType w:val="hybridMultilevel"/>
    <w:tmpl w:val="267E1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DD5B9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136E171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4C907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18645D7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 w15:restartNumberingAfterBreak="0">
    <w:nsid w:val="1D7F4FB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1E0B39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1F110170"/>
    <w:multiLevelType w:val="hybridMultilevel"/>
    <w:tmpl w:val="A5DC962E"/>
    <w:lvl w:ilvl="0" w:tplc="636821AC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D84982"/>
    <w:multiLevelType w:val="hybridMultilevel"/>
    <w:tmpl w:val="91724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E11FC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249811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2B0D591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2BE951D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 w15:restartNumberingAfterBreak="0">
    <w:nsid w:val="2CB95EE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2CFE4E0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2D793E0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2D9449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2EDE49A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30421B2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 w15:restartNumberingAfterBreak="0">
    <w:nsid w:val="31070B71"/>
    <w:multiLevelType w:val="hybridMultilevel"/>
    <w:tmpl w:val="2E0629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4C23F7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35FD625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" w15:restartNumberingAfterBreak="0">
    <w:nsid w:val="36286CF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" w15:restartNumberingAfterBreak="0">
    <w:nsid w:val="39566794"/>
    <w:multiLevelType w:val="hybridMultilevel"/>
    <w:tmpl w:val="233ADF9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A7309A3"/>
    <w:multiLevelType w:val="hybridMultilevel"/>
    <w:tmpl w:val="D6225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FF32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3F3214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AC79A2"/>
    <w:multiLevelType w:val="hybridMultilevel"/>
    <w:tmpl w:val="F79004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B80CB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450E6B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453960E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45396790"/>
    <w:multiLevelType w:val="hybridMultilevel"/>
    <w:tmpl w:val="61C651B8"/>
    <w:lvl w:ilvl="0" w:tplc="8F66B2D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4413A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48CB64F6"/>
    <w:multiLevelType w:val="hybridMultilevel"/>
    <w:tmpl w:val="D34E0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2D592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3" w15:restartNumberingAfterBreak="0">
    <w:nsid w:val="4E7056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4" w15:restartNumberingAfterBreak="0">
    <w:nsid w:val="525C575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5" w15:restartNumberingAfterBreak="0">
    <w:nsid w:val="55A6791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6" w15:restartNumberingAfterBreak="0">
    <w:nsid w:val="58C964A2"/>
    <w:multiLevelType w:val="multilevel"/>
    <w:tmpl w:val="D808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E85514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8" w15:restartNumberingAfterBreak="0">
    <w:nsid w:val="5E977F54"/>
    <w:multiLevelType w:val="hybridMultilevel"/>
    <w:tmpl w:val="FEBC3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6C4EB4"/>
    <w:multiLevelType w:val="hybridMultilevel"/>
    <w:tmpl w:val="4BC8AF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0DB0B3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2" w15:restartNumberingAfterBreak="0">
    <w:nsid w:val="60DE662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3" w15:restartNumberingAfterBreak="0">
    <w:nsid w:val="61204AB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4" w15:restartNumberingAfterBreak="0">
    <w:nsid w:val="616C2B76"/>
    <w:multiLevelType w:val="hybridMultilevel"/>
    <w:tmpl w:val="1DAC9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DEFCE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8D56B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6" w15:restartNumberingAfterBreak="0">
    <w:nsid w:val="6AF6264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7" w15:restartNumberingAfterBreak="0">
    <w:nsid w:val="6BC07CA5"/>
    <w:multiLevelType w:val="hybridMultilevel"/>
    <w:tmpl w:val="1F9647A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E700B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9" w15:restartNumberingAfterBreak="0">
    <w:nsid w:val="7060602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0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8147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2" w15:restartNumberingAfterBreak="0">
    <w:nsid w:val="749712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3" w15:restartNumberingAfterBreak="0">
    <w:nsid w:val="74D60314"/>
    <w:multiLevelType w:val="hybridMultilevel"/>
    <w:tmpl w:val="65BC5134"/>
    <w:lvl w:ilvl="0" w:tplc="20665E1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B11B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77E4386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6" w15:restartNumberingAfterBreak="0">
    <w:nsid w:val="78FE7E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7" w15:restartNumberingAfterBreak="0">
    <w:nsid w:val="7CA64C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8" w15:restartNumberingAfterBreak="0">
    <w:nsid w:val="7D65682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9" w15:restartNumberingAfterBreak="0">
    <w:nsid w:val="7D755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" w15:restartNumberingAfterBreak="0">
    <w:nsid w:val="7FC32C8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51"/>
  </w:num>
  <w:num w:numId="2">
    <w:abstractNumId w:val="70"/>
  </w:num>
  <w:num w:numId="3">
    <w:abstractNumId w:val="48"/>
  </w:num>
  <w:num w:numId="4">
    <w:abstractNumId w:val="42"/>
  </w:num>
  <w:num w:numId="5">
    <w:abstractNumId w:val="49"/>
  </w:num>
  <w:num w:numId="6">
    <w:abstractNumId w:val="8"/>
  </w:num>
  <w:num w:numId="7">
    <w:abstractNumId w:val="43"/>
  </w:num>
  <w:num w:numId="8">
    <w:abstractNumId w:val="34"/>
  </w:num>
  <w:num w:numId="9">
    <w:abstractNumId w:val="47"/>
  </w:num>
  <w:num w:numId="10">
    <w:abstractNumId w:val="60"/>
  </w:num>
  <w:num w:numId="11">
    <w:abstractNumId w:val="12"/>
  </w:num>
  <w:num w:numId="12">
    <w:abstractNumId w:val="22"/>
  </w:num>
  <w:num w:numId="13">
    <w:abstractNumId w:val="38"/>
  </w:num>
  <w:num w:numId="14">
    <w:abstractNumId w:val="59"/>
  </w:num>
  <w:num w:numId="15">
    <w:abstractNumId w:val="23"/>
  </w:num>
  <w:num w:numId="16">
    <w:abstractNumId w:val="48"/>
  </w:num>
  <w:num w:numId="17">
    <w:abstractNumId w:val="42"/>
  </w:num>
  <w:num w:numId="18">
    <w:abstractNumId w:val="49"/>
  </w:num>
  <w:num w:numId="19">
    <w:abstractNumId w:val="51"/>
  </w:num>
  <w:num w:numId="20">
    <w:abstractNumId w:val="70"/>
  </w:num>
  <w:num w:numId="21">
    <w:abstractNumId w:val="8"/>
  </w:num>
  <w:num w:numId="22">
    <w:abstractNumId w:val="58"/>
  </w:num>
  <w:num w:numId="23">
    <w:abstractNumId w:val="39"/>
  </w:num>
  <w:num w:numId="24">
    <w:abstractNumId w:val="67"/>
  </w:num>
  <w:num w:numId="25">
    <w:abstractNumId w:val="15"/>
  </w:num>
  <w:num w:numId="26">
    <w:abstractNumId w:val="73"/>
  </w:num>
  <w:num w:numId="27">
    <w:abstractNumId w:val="80"/>
  </w:num>
  <w:num w:numId="28">
    <w:abstractNumId w:val="1"/>
  </w:num>
  <w:num w:numId="29">
    <w:abstractNumId w:val="44"/>
  </w:num>
  <w:num w:numId="30">
    <w:abstractNumId w:val="16"/>
  </w:num>
  <w:num w:numId="31">
    <w:abstractNumId w:val="21"/>
  </w:num>
  <w:num w:numId="32">
    <w:abstractNumId w:val="41"/>
  </w:num>
  <w:num w:numId="33">
    <w:abstractNumId w:val="53"/>
  </w:num>
  <w:num w:numId="34">
    <w:abstractNumId w:val="76"/>
  </w:num>
  <w:num w:numId="35">
    <w:abstractNumId w:val="26"/>
  </w:num>
  <w:num w:numId="36">
    <w:abstractNumId w:val="4"/>
  </w:num>
  <w:num w:numId="37">
    <w:abstractNumId w:val="72"/>
  </w:num>
  <w:num w:numId="38">
    <w:abstractNumId w:val="9"/>
  </w:num>
  <w:num w:numId="39">
    <w:abstractNumId w:val="18"/>
  </w:num>
  <w:num w:numId="40">
    <w:abstractNumId w:val="24"/>
  </w:num>
  <w:num w:numId="41">
    <w:abstractNumId w:val="63"/>
  </w:num>
  <w:num w:numId="42">
    <w:abstractNumId w:val="7"/>
  </w:num>
  <w:num w:numId="43">
    <w:abstractNumId w:val="75"/>
  </w:num>
  <w:num w:numId="44">
    <w:abstractNumId w:val="50"/>
  </w:num>
  <w:num w:numId="45">
    <w:abstractNumId w:val="19"/>
  </w:num>
  <w:num w:numId="46">
    <w:abstractNumId w:val="57"/>
  </w:num>
  <w:num w:numId="47">
    <w:abstractNumId w:val="52"/>
  </w:num>
  <w:num w:numId="48">
    <w:abstractNumId w:val="46"/>
  </w:num>
  <w:num w:numId="49">
    <w:abstractNumId w:val="62"/>
  </w:num>
  <w:num w:numId="50">
    <w:abstractNumId w:val="17"/>
  </w:num>
  <w:num w:numId="51">
    <w:abstractNumId w:val="5"/>
  </w:num>
  <w:num w:numId="52">
    <w:abstractNumId w:val="68"/>
  </w:num>
  <w:num w:numId="53">
    <w:abstractNumId w:val="3"/>
  </w:num>
  <w:num w:numId="54">
    <w:abstractNumId w:val="79"/>
  </w:num>
  <w:num w:numId="55">
    <w:abstractNumId w:val="61"/>
  </w:num>
  <w:num w:numId="56">
    <w:abstractNumId w:val="45"/>
  </w:num>
  <w:num w:numId="57">
    <w:abstractNumId w:val="25"/>
  </w:num>
  <w:num w:numId="58">
    <w:abstractNumId w:val="14"/>
  </w:num>
  <w:num w:numId="59">
    <w:abstractNumId w:val="29"/>
  </w:num>
  <w:num w:numId="60">
    <w:abstractNumId w:val="20"/>
  </w:num>
  <w:num w:numId="61">
    <w:abstractNumId w:val="30"/>
  </w:num>
  <w:num w:numId="62">
    <w:abstractNumId w:val="37"/>
  </w:num>
  <w:num w:numId="63">
    <w:abstractNumId w:val="55"/>
  </w:num>
  <w:num w:numId="64">
    <w:abstractNumId w:val="65"/>
  </w:num>
  <w:num w:numId="65">
    <w:abstractNumId w:val="27"/>
  </w:num>
  <w:num w:numId="66">
    <w:abstractNumId w:val="40"/>
  </w:num>
  <w:num w:numId="67">
    <w:abstractNumId w:val="10"/>
  </w:num>
  <w:num w:numId="68">
    <w:abstractNumId w:val="6"/>
  </w:num>
  <w:num w:numId="69">
    <w:abstractNumId w:val="36"/>
  </w:num>
  <w:num w:numId="70">
    <w:abstractNumId w:val="28"/>
  </w:num>
  <w:num w:numId="71">
    <w:abstractNumId w:val="71"/>
  </w:num>
  <w:num w:numId="72">
    <w:abstractNumId w:val="35"/>
  </w:num>
  <w:num w:numId="73">
    <w:abstractNumId w:val="77"/>
  </w:num>
  <w:num w:numId="74">
    <w:abstractNumId w:val="66"/>
  </w:num>
  <w:num w:numId="75">
    <w:abstractNumId w:val="69"/>
  </w:num>
  <w:num w:numId="76">
    <w:abstractNumId w:val="0"/>
  </w:num>
  <w:num w:numId="77">
    <w:abstractNumId w:val="54"/>
  </w:num>
  <w:num w:numId="78">
    <w:abstractNumId w:val="32"/>
  </w:num>
  <w:num w:numId="79">
    <w:abstractNumId w:val="31"/>
  </w:num>
  <w:num w:numId="80">
    <w:abstractNumId w:val="74"/>
  </w:num>
  <w:num w:numId="81">
    <w:abstractNumId w:val="11"/>
  </w:num>
  <w:num w:numId="82">
    <w:abstractNumId w:val="78"/>
  </w:num>
  <w:num w:numId="83">
    <w:abstractNumId w:val="13"/>
  </w:num>
  <w:num w:numId="84">
    <w:abstractNumId w:val="33"/>
  </w:num>
  <w:num w:numId="85">
    <w:abstractNumId w:val="56"/>
  </w:num>
  <w:num w:numId="8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CF"/>
    <w:rsid w:val="00004718"/>
    <w:rsid w:val="000057A1"/>
    <w:rsid w:val="00010E2C"/>
    <w:rsid w:val="00011A8A"/>
    <w:rsid w:val="00012054"/>
    <w:rsid w:val="00015A8C"/>
    <w:rsid w:val="00021BB7"/>
    <w:rsid w:val="00030862"/>
    <w:rsid w:val="00030F01"/>
    <w:rsid w:val="000351CF"/>
    <w:rsid w:val="00037BF9"/>
    <w:rsid w:val="0004005C"/>
    <w:rsid w:val="00053FA6"/>
    <w:rsid w:val="000544EE"/>
    <w:rsid w:val="000554C4"/>
    <w:rsid w:val="00055CB4"/>
    <w:rsid w:val="00057141"/>
    <w:rsid w:val="0005730A"/>
    <w:rsid w:val="0006322D"/>
    <w:rsid w:val="00075311"/>
    <w:rsid w:val="000767B2"/>
    <w:rsid w:val="000804EE"/>
    <w:rsid w:val="00085708"/>
    <w:rsid w:val="00097BCA"/>
    <w:rsid w:val="000A2432"/>
    <w:rsid w:val="000A4E09"/>
    <w:rsid w:val="000A5E12"/>
    <w:rsid w:val="000B5E7F"/>
    <w:rsid w:val="000C4887"/>
    <w:rsid w:val="000C63B3"/>
    <w:rsid w:val="000D0DF8"/>
    <w:rsid w:val="000D1711"/>
    <w:rsid w:val="000D248B"/>
    <w:rsid w:val="000D49AC"/>
    <w:rsid w:val="000D4EB0"/>
    <w:rsid w:val="000D7E08"/>
    <w:rsid w:val="000E46F0"/>
    <w:rsid w:val="000E7261"/>
    <w:rsid w:val="000F36BF"/>
    <w:rsid w:val="000F390B"/>
    <w:rsid w:val="000F3E3F"/>
    <w:rsid w:val="000F64F5"/>
    <w:rsid w:val="000F6FF6"/>
    <w:rsid w:val="00100896"/>
    <w:rsid w:val="001034A6"/>
    <w:rsid w:val="001071FB"/>
    <w:rsid w:val="00110766"/>
    <w:rsid w:val="00112CE2"/>
    <w:rsid w:val="00114CC2"/>
    <w:rsid w:val="00115155"/>
    <w:rsid w:val="00117F36"/>
    <w:rsid w:val="0012079E"/>
    <w:rsid w:val="00127719"/>
    <w:rsid w:val="001300EE"/>
    <w:rsid w:val="00130378"/>
    <w:rsid w:val="00131A6E"/>
    <w:rsid w:val="0013341D"/>
    <w:rsid w:val="001334EA"/>
    <w:rsid w:val="00133BE3"/>
    <w:rsid w:val="00137076"/>
    <w:rsid w:val="00140338"/>
    <w:rsid w:val="001408E2"/>
    <w:rsid w:val="0014183A"/>
    <w:rsid w:val="001458EC"/>
    <w:rsid w:val="00151D33"/>
    <w:rsid w:val="00155794"/>
    <w:rsid w:val="0015655B"/>
    <w:rsid w:val="001577A5"/>
    <w:rsid w:val="00161784"/>
    <w:rsid w:val="001620EE"/>
    <w:rsid w:val="00163335"/>
    <w:rsid w:val="00167DC1"/>
    <w:rsid w:val="00167DF4"/>
    <w:rsid w:val="001730CA"/>
    <w:rsid w:val="001800C1"/>
    <w:rsid w:val="001805C9"/>
    <w:rsid w:val="001864ED"/>
    <w:rsid w:val="00194D24"/>
    <w:rsid w:val="001974AE"/>
    <w:rsid w:val="001974FB"/>
    <w:rsid w:val="001A191D"/>
    <w:rsid w:val="001A2926"/>
    <w:rsid w:val="001A2F71"/>
    <w:rsid w:val="001A3E4B"/>
    <w:rsid w:val="001A7E6E"/>
    <w:rsid w:val="001B3150"/>
    <w:rsid w:val="001B42B6"/>
    <w:rsid w:val="001B444A"/>
    <w:rsid w:val="001C0809"/>
    <w:rsid w:val="001D48D5"/>
    <w:rsid w:val="001E5468"/>
    <w:rsid w:val="001E61F9"/>
    <w:rsid w:val="001E65C0"/>
    <w:rsid w:val="001F35F1"/>
    <w:rsid w:val="001F3BCB"/>
    <w:rsid w:val="001F4605"/>
    <w:rsid w:val="001F6B59"/>
    <w:rsid w:val="001F7700"/>
    <w:rsid w:val="00200041"/>
    <w:rsid w:val="002044F0"/>
    <w:rsid w:val="002134F9"/>
    <w:rsid w:val="002217FD"/>
    <w:rsid w:val="0022273D"/>
    <w:rsid w:val="0022679C"/>
    <w:rsid w:val="00231B7A"/>
    <w:rsid w:val="00240A49"/>
    <w:rsid w:val="00241DC6"/>
    <w:rsid w:val="0025098C"/>
    <w:rsid w:val="002512EF"/>
    <w:rsid w:val="0026555D"/>
    <w:rsid w:val="0027164F"/>
    <w:rsid w:val="002726C1"/>
    <w:rsid w:val="002768AF"/>
    <w:rsid w:val="002819D2"/>
    <w:rsid w:val="00285EAB"/>
    <w:rsid w:val="0029060F"/>
    <w:rsid w:val="00293CCC"/>
    <w:rsid w:val="002A547F"/>
    <w:rsid w:val="002B30D4"/>
    <w:rsid w:val="002B3F68"/>
    <w:rsid w:val="002B41E6"/>
    <w:rsid w:val="002C28E6"/>
    <w:rsid w:val="002C2A68"/>
    <w:rsid w:val="002C7883"/>
    <w:rsid w:val="002D159E"/>
    <w:rsid w:val="002D72C3"/>
    <w:rsid w:val="002D7E66"/>
    <w:rsid w:val="002E2444"/>
    <w:rsid w:val="002E310C"/>
    <w:rsid w:val="002E713B"/>
    <w:rsid w:val="00303B6D"/>
    <w:rsid w:val="00310014"/>
    <w:rsid w:val="003124B0"/>
    <w:rsid w:val="0031682D"/>
    <w:rsid w:val="0032791E"/>
    <w:rsid w:val="00331534"/>
    <w:rsid w:val="0033198C"/>
    <w:rsid w:val="00335F3C"/>
    <w:rsid w:val="00336296"/>
    <w:rsid w:val="0033714F"/>
    <w:rsid w:val="0034148E"/>
    <w:rsid w:val="0034239E"/>
    <w:rsid w:val="00342B32"/>
    <w:rsid w:val="0036222C"/>
    <w:rsid w:val="00366AC4"/>
    <w:rsid w:val="003726DA"/>
    <w:rsid w:val="00372D48"/>
    <w:rsid w:val="00374D3D"/>
    <w:rsid w:val="003866B0"/>
    <w:rsid w:val="0039282D"/>
    <w:rsid w:val="003A0131"/>
    <w:rsid w:val="003A11EA"/>
    <w:rsid w:val="003A4F5C"/>
    <w:rsid w:val="003A6D3B"/>
    <w:rsid w:val="003A6E1D"/>
    <w:rsid w:val="003A78C2"/>
    <w:rsid w:val="003A7958"/>
    <w:rsid w:val="003B0599"/>
    <w:rsid w:val="003B0C3B"/>
    <w:rsid w:val="003B0C96"/>
    <w:rsid w:val="003B3A94"/>
    <w:rsid w:val="003B3D43"/>
    <w:rsid w:val="003C1313"/>
    <w:rsid w:val="003D2EDC"/>
    <w:rsid w:val="003D4F90"/>
    <w:rsid w:val="003E1F7B"/>
    <w:rsid w:val="003E285F"/>
    <w:rsid w:val="003E6672"/>
    <w:rsid w:val="003F127A"/>
    <w:rsid w:val="003F2A3C"/>
    <w:rsid w:val="003F4745"/>
    <w:rsid w:val="003F4753"/>
    <w:rsid w:val="003F4765"/>
    <w:rsid w:val="003F5C76"/>
    <w:rsid w:val="00400D8F"/>
    <w:rsid w:val="00403DB1"/>
    <w:rsid w:val="00405926"/>
    <w:rsid w:val="00405F10"/>
    <w:rsid w:val="0041134A"/>
    <w:rsid w:val="004144CD"/>
    <w:rsid w:val="004153CB"/>
    <w:rsid w:val="00415CBB"/>
    <w:rsid w:val="004229D7"/>
    <w:rsid w:val="00424EF8"/>
    <w:rsid w:val="00427F39"/>
    <w:rsid w:val="00430EE2"/>
    <w:rsid w:val="00434130"/>
    <w:rsid w:val="00441076"/>
    <w:rsid w:val="00447379"/>
    <w:rsid w:val="0045540B"/>
    <w:rsid w:val="00455C52"/>
    <w:rsid w:val="00457D87"/>
    <w:rsid w:val="00464A43"/>
    <w:rsid w:val="00464A9C"/>
    <w:rsid w:val="00472755"/>
    <w:rsid w:val="00473EA2"/>
    <w:rsid w:val="00476524"/>
    <w:rsid w:val="0047729B"/>
    <w:rsid w:val="00477751"/>
    <w:rsid w:val="00480F8E"/>
    <w:rsid w:val="004832E8"/>
    <w:rsid w:val="004949A1"/>
    <w:rsid w:val="00494FAD"/>
    <w:rsid w:val="004A2E97"/>
    <w:rsid w:val="004A5D58"/>
    <w:rsid w:val="004A767B"/>
    <w:rsid w:val="004A76A5"/>
    <w:rsid w:val="004B0E69"/>
    <w:rsid w:val="004B4BE0"/>
    <w:rsid w:val="004B730A"/>
    <w:rsid w:val="004C0403"/>
    <w:rsid w:val="004C0991"/>
    <w:rsid w:val="004C466F"/>
    <w:rsid w:val="004C690F"/>
    <w:rsid w:val="004D3DED"/>
    <w:rsid w:val="004D4395"/>
    <w:rsid w:val="004D518B"/>
    <w:rsid w:val="004E18DA"/>
    <w:rsid w:val="004E216E"/>
    <w:rsid w:val="004E702F"/>
    <w:rsid w:val="004F38D1"/>
    <w:rsid w:val="004F5C8F"/>
    <w:rsid w:val="004F5DCB"/>
    <w:rsid w:val="004F6CEC"/>
    <w:rsid w:val="0050077D"/>
    <w:rsid w:val="00513E9C"/>
    <w:rsid w:val="00517CEB"/>
    <w:rsid w:val="00523645"/>
    <w:rsid w:val="00526654"/>
    <w:rsid w:val="00530408"/>
    <w:rsid w:val="0053177C"/>
    <w:rsid w:val="005338D3"/>
    <w:rsid w:val="00534CEF"/>
    <w:rsid w:val="00534D96"/>
    <w:rsid w:val="0053658D"/>
    <w:rsid w:val="005365FB"/>
    <w:rsid w:val="00547006"/>
    <w:rsid w:val="00553206"/>
    <w:rsid w:val="00560215"/>
    <w:rsid w:val="005647C2"/>
    <w:rsid w:val="0056494C"/>
    <w:rsid w:val="005743D4"/>
    <w:rsid w:val="00591071"/>
    <w:rsid w:val="005928B2"/>
    <w:rsid w:val="005968B7"/>
    <w:rsid w:val="005A4FEF"/>
    <w:rsid w:val="005B2070"/>
    <w:rsid w:val="005B21FA"/>
    <w:rsid w:val="005B2E97"/>
    <w:rsid w:val="005C0CE6"/>
    <w:rsid w:val="005C374A"/>
    <w:rsid w:val="005C6431"/>
    <w:rsid w:val="005D1B38"/>
    <w:rsid w:val="005E1E2D"/>
    <w:rsid w:val="005E2F12"/>
    <w:rsid w:val="005E4AF1"/>
    <w:rsid w:val="00601F1E"/>
    <w:rsid w:val="00602675"/>
    <w:rsid w:val="00603F8E"/>
    <w:rsid w:val="006115E6"/>
    <w:rsid w:val="00612351"/>
    <w:rsid w:val="006132E2"/>
    <w:rsid w:val="006140E1"/>
    <w:rsid w:val="0061499A"/>
    <w:rsid w:val="00614C5B"/>
    <w:rsid w:val="00621B41"/>
    <w:rsid w:val="00622167"/>
    <w:rsid w:val="00623FDE"/>
    <w:rsid w:val="0062408A"/>
    <w:rsid w:val="00626BDD"/>
    <w:rsid w:val="00631CB1"/>
    <w:rsid w:val="0063266E"/>
    <w:rsid w:val="00632DD0"/>
    <w:rsid w:val="00642123"/>
    <w:rsid w:val="00647C7C"/>
    <w:rsid w:val="006528D6"/>
    <w:rsid w:val="00662C4F"/>
    <w:rsid w:val="00665122"/>
    <w:rsid w:val="00686298"/>
    <w:rsid w:val="0068661C"/>
    <w:rsid w:val="0068707A"/>
    <w:rsid w:val="00690316"/>
    <w:rsid w:val="0069413F"/>
    <w:rsid w:val="00696D32"/>
    <w:rsid w:val="006A018F"/>
    <w:rsid w:val="006A5FE8"/>
    <w:rsid w:val="006A7552"/>
    <w:rsid w:val="006B1180"/>
    <w:rsid w:val="006B668F"/>
    <w:rsid w:val="006B7ABF"/>
    <w:rsid w:val="006C24C1"/>
    <w:rsid w:val="006C31AA"/>
    <w:rsid w:val="006C46CB"/>
    <w:rsid w:val="006C4E95"/>
    <w:rsid w:val="006C6D86"/>
    <w:rsid w:val="006C7F3C"/>
    <w:rsid w:val="006D4050"/>
    <w:rsid w:val="006F207E"/>
    <w:rsid w:val="006F3347"/>
    <w:rsid w:val="006F48DF"/>
    <w:rsid w:val="006F5A30"/>
    <w:rsid w:val="006F62EF"/>
    <w:rsid w:val="0070312A"/>
    <w:rsid w:val="0070329F"/>
    <w:rsid w:val="00706D7E"/>
    <w:rsid w:val="00707515"/>
    <w:rsid w:val="00711AB6"/>
    <w:rsid w:val="00711EC6"/>
    <w:rsid w:val="00720B71"/>
    <w:rsid w:val="00722389"/>
    <w:rsid w:val="00725F93"/>
    <w:rsid w:val="00731CDA"/>
    <w:rsid w:val="00734F45"/>
    <w:rsid w:val="007374C4"/>
    <w:rsid w:val="0075118D"/>
    <w:rsid w:val="00751350"/>
    <w:rsid w:val="00752DA9"/>
    <w:rsid w:val="007546DC"/>
    <w:rsid w:val="00756B4B"/>
    <w:rsid w:val="00760CB0"/>
    <w:rsid w:val="007627DC"/>
    <w:rsid w:val="00763C34"/>
    <w:rsid w:val="00764124"/>
    <w:rsid w:val="0077083A"/>
    <w:rsid w:val="007723BD"/>
    <w:rsid w:val="00774C71"/>
    <w:rsid w:val="00774EC6"/>
    <w:rsid w:val="00777052"/>
    <w:rsid w:val="007774B6"/>
    <w:rsid w:val="00781571"/>
    <w:rsid w:val="0078170D"/>
    <w:rsid w:val="007868D5"/>
    <w:rsid w:val="007965EF"/>
    <w:rsid w:val="007B036D"/>
    <w:rsid w:val="007B2CAA"/>
    <w:rsid w:val="007C129D"/>
    <w:rsid w:val="007C1E06"/>
    <w:rsid w:val="007C21E3"/>
    <w:rsid w:val="007C3235"/>
    <w:rsid w:val="007C51F5"/>
    <w:rsid w:val="007C7F56"/>
    <w:rsid w:val="007D0B6C"/>
    <w:rsid w:val="007D387B"/>
    <w:rsid w:val="007D47D4"/>
    <w:rsid w:val="007E6487"/>
    <w:rsid w:val="007F018B"/>
    <w:rsid w:val="007F01DB"/>
    <w:rsid w:val="007F1A43"/>
    <w:rsid w:val="007F2EAF"/>
    <w:rsid w:val="007F57FD"/>
    <w:rsid w:val="00801AD6"/>
    <w:rsid w:val="00801C04"/>
    <w:rsid w:val="008033A4"/>
    <w:rsid w:val="00804DDE"/>
    <w:rsid w:val="00811806"/>
    <w:rsid w:val="00811B6E"/>
    <w:rsid w:val="00814582"/>
    <w:rsid w:val="0083126B"/>
    <w:rsid w:val="00831C0F"/>
    <w:rsid w:val="00832956"/>
    <w:rsid w:val="00834582"/>
    <w:rsid w:val="00837CBE"/>
    <w:rsid w:val="00840B79"/>
    <w:rsid w:val="0084795A"/>
    <w:rsid w:val="00851C77"/>
    <w:rsid w:val="00856226"/>
    <w:rsid w:val="00866859"/>
    <w:rsid w:val="0087078D"/>
    <w:rsid w:val="00873072"/>
    <w:rsid w:val="008732CE"/>
    <w:rsid w:val="008736ED"/>
    <w:rsid w:val="00881215"/>
    <w:rsid w:val="00882686"/>
    <w:rsid w:val="008912F1"/>
    <w:rsid w:val="00893911"/>
    <w:rsid w:val="008A05DD"/>
    <w:rsid w:val="008A0C47"/>
    <w:rsid w:val="008A5B99"/>
    <w:rsid w:val="008A5F48"/>
    <w:rsid w:val="008A6D5B"/>
    <w:rsid w:val="008A6D63"/>
    <w:rsid w:val="008B2F58"/>
    <w:rsid w:val="008B3F29"/>
    <w:rsid w:val="008B4E03"/>
    <w:rsid w:val="008B6A2B"/>
    <w:rsid w:val="008B7ED8"/>
    <w:rsid w:val="008C47DF"/>
    <w:rsid w:val="008D1A6D"/>
    <w:rsid w:val="008D1C5A"/>
    <w:rsid w:val="008D64A9"/>
    <w:rsid w:val="008E05DA"/>
    <w:rsid w:val="008F4134"/>
    <w:rsid w:val="008F503F"/>
    <w:rsid w:val="008F6531"/>
    <w:rsid w:val="009010CC"/>
    <w:rsid w:val="00901AC9"/>
    <w:rsid w:val="00904653"/>
    <w:rsid w:val="00905D57"/>
    <w:rsid w:val="00911223"/>
    <w:rsid w:val="009116EC"/>
    <w:rsid w:val="009159C0"/>
    <w:rsid w:val="009302BF"/>
    <w:rsid w:val="009317CC"/>
    <w:rsid w:val="00941BEA"/>
    <w:rsid w:val="00943580"/>
    <w:rsid w:val="00946F3B"/>
    <w:rsid w:val="00947310"/>
    <w:rsid w:val="0095013F"/>
    <w:rsid w:val="0095097A"/>
    <w:rsid w:val="00955EE6"/>
    <w:rsid w:val="009600B3"/>
    <w:rsid w:val="009613FE"/>
    <w:rsid w:val="00962C3A"/>
    <w:rsid w:val="009702D6"/>
    <w:rsid w:val="00970EA8"/>
    <w:rsid w:val="00970F87"/>
    <w:rsid w:val="00974EEE"/>
    <w:rsid w:val="0097797B"/>
    <w:rsid w:val="009804BE"/>
    <w:rsid w:val="00980C7D"/>
    <w:rsid w:val="0098349D"/>
    <w:rsid w:val="00990D4C"/>
    <w:rsid w:val="00992E90"/>
    <w:rsid w:val="00993141"/>
    <w:rsid w:val="00995A63"/>
    <w:rsid w:val="00995A86"/>
    <w:rsid w:val="00997059"/>
    <w:rsid w:val="009A2674"/>
    <w:rsid w:val="009A5C1A"/>
    <w:rsid w:val="009B45ED"/>
    <w:rsid w:val="009B5E1D"/>
    <w:rsid w:val="009C2796"/>
    <w:rsid w:val="009C75C4"/>
    <w:rsid w:val="009C7805"/>
    <w:rsid w:val="009D0B39"/>
    <w:rsid w:val="009D183D"/>
    <w:rsid w:val="009D29BD"/>
    <w:rsid w:val="009D4EE4"/>
    <w:rsid w:val="009D67C9"/>
    <w:rsid w:val="009E0FC9"/>
    <w:rsid w:val="009E327E"/>
    <w:rsid w:val="009E6C5A"/>
    <w:rsid w:val="009E6D8F"/>
    <w:rsid w:val="009E7256"/>
    <w:rsid w:val="009F1DDB"/>
    <w:rsid w:val="009F2CB3"/>
    <w:rsid w:val="009F579A"/>
    <w:rsid w:val="009F7A94"/>
    <w:rsid w:val="00A00D1A"/>
    <w:rsid w:val="00A01C1E"/>
    <w:rsid w:val="00A038CF"/>
    <w:rsid w:val="00A10950"/>
    <w:rsid w:val="00A10EF5"/>
    <w:rsid w:val="00A111F5"/>
    <w:rsid w:val="00A1330D"/>
    <w:rsid w:val="00A21EA1"/>
    <w:rsid w:val="00A27955"/>
    <w:rsid w:val="00A32EDB"/>
    <w:rsid w:val="00A423BB"/>
    <w:rsid w:val="00A47072"/>
    <w:rsid w:val="00A520F7"/>
    <w:rsid w:val="00A56470"/>
    <w:rsid w:val="00A645B4"/>
    <w:rsid w:val="00A64AC3"/>
    <w:rsid w:val="00A66DF4"/>
    <w:rsid w:val="00A72C26"/>
    <w:rsid w:val="00A74349"/>
    <w:rsid w:val="00A75422"/>
    <w:rsid w:val="00A7588E"/>
    <w:rsid w:val="00A77A23"/>
    <w:rsid w:val="00A833F6"/>
    <w:rsid w:val="00A851E0"/>
    <w:rsid w:val="00A92157"/>
    <w:rsid w:val="00A9262E"/>
    <w:rsid w:val="00A94D90"/>
    <w:rsid w:val="00A951EE"/>
    <w:rsid w:val="00A97093"/>
    <w:rsid w:val="00AA5A1C"/>
    <w:rsid w:val="00AB305C"/>
    <w:rsid w:val="00AB43C4"/>
    <w:rsid w:val="00AB47C9"/>
    <w:rsid w:val="00AB5262"/>
    <w:rsid w:val="00AC210F"/>
    <w:rsid w:val="00AC6485"/>
    <w:rsid w:val="00AC68DE"/>
    <w:rsid w:val="00AD1A38"/>
    <w:rsid w:val="00AD5274"/>
    <w:rsid w:val="00AD5B04"/>
    <w:rsid w:val="00AD62CA"/>
    <w:rsid w:val="00AD6D5C"/>
    <w:rsid w:val="00AE0860"/>
    <w:rsid w:val="00AE27B6"/>
    <w:rsid w:val="00AE3252"/>
    <w:rsid w:val="00AE4B00"/>
    <w:rsid w:val="00AE6EF1"/>
    <w:rsid w:val="00AF362B"/>
    <w:rsid w:val="00AF7147"/>
    <w:rsid w:val="00AF7CDB"/>
    <w:rsid w:val="00B12905"/>
    <w:rsid w:val="00B16CC1"/>
    <w:rsid w:val="00B21441"/>
    <w:rsid w:val="00B21BB0"/>
    <w:rsid w:val="00B27E66"/>
    <w:rsid w:val="00B30B0A"/>
    <w:rsid w:val="00B44CBD"/>
    <w:rsid w:val="00B45DC2"/>
    <w:rsid w:val="00B466D7"/>
    <w:rsid w:val="00B47A14"/>
    <w:rsid w:val="00B5029C"/>
    <w:rsid w:val="00B56C3A"/>
    <w:rsid w:val="00B610E3"/>
    <w:rsid w:val="00B62CAF"/>
    <w:rsid w:val="00B73DC2"/>
    <w:rsid w:val="00B82111"/>
    <w:rsid w:val="00B8308A"/>
    <w:rsid w:val="00B8395F"/>
    <w:rsid w:val="00B849F3"/>
    <w:rsid w:val="00B8711E"/>
    <w:rsid w:val="00B902A8"/>
    <w:rsid w:val="00B91A13"/>
    <w:rsid w:val="00B937E5"/>
    <w:rsid w:val="00B94C70"/>
    <w:rsid w:val="00BA136F"/>
    <w:rsid w:val="00BA528D"/>
    <w:rsid w:val="00BA54DE"/>
    <w:rsid w:val="00BA603D"/>
    <w:rsid w:val="00BC1D9F"/>
    <w:rsid w:val="00BC3C3F"/>
    <w:rsid w:val="00BC5038"/>
    <w:rsid w:val="00BD10EE"/>
    <w:rsid w:val="00BD12A7"/>
    <w:rsid w:val="00BD16D8"/>
    <w:rsid w:val="00BD579A"/>
    <w:rsid w:val="00BD6CDF"/>
    <w:rsid w:val="00BE0DD1"/>
    <w:rsid w:val="00BE6ABE"/>
    <w:rsid w:val="00BE77C4"/>
    <w:rsid w:val="00BF2F60"/>
    <w:rsid w:val="00BF3E41"/>
    <w:rsid w:val="00BF565E"/>
    <w:rsid w:val="00BF5C31"/>
    <w:rsid w:val="00BF7E7D"/>
    <w:rsid w:val="00C00301"/>
    <w:rsid w:val="00C106E6"/>
    <w:rsid w:val="00C107CD"/>
    <w:rsid w:val="00C203AC"/>
    <w:rsid w:val="00C260C9"/>
    <w:rsid w:val="00C271F7"/>
    <w:rsid w:val="00C27484"/>
    <w:rsid w:val="00C27540"/>
    <w:rsid w:val="00C318B6"/>
    <w:rsid w:val="00C3538D"/>
    <w:rsid w:val="00C35C9E"/>
    <w:rsid w:val="00C42A86"/>
    <w:rsid w:val="00C46E2B"/>
    <w:rsid w:val="00C47892"/>
    <w:rsid w:val="00C47BC0"/>
    <w:rsid w:val="00C50620"/>
    <w:rsid w:val="00C511A7"/>
    <w:rsid w:val="00C54151"/>
    <w:rsid w:val="00C54C7D"/>
    <w:rsid w:val="00C62BD5"/>
    <w:rsid w:val="00C7203B"/>
    <w:rsid w:val="00C747D2"/>
    <w:rsid w:val="00C8507F"/>
    <w:rsid w:val="00C85B6F"/>
    <w:rsid w:val="00C92D84"/>
    <w:rsid w:val="00C93489"/>
    <w:rsid w:val="00C95418"/>
    <w:rsid w:val="00CA56F4"/>
    <w:rsid w:val="00CA6A44"/>
    <w:rsid w:val="00CA7306"/>
    <w:rsid w:val="00CC66E8"/>
    <w:rsid w:val="00CC7DC9"/>
    <w:rsid w:val="00CD04EF"/>
    <w:rsid w:val="00CD361D"/>
    <w:rsid w:val="00CD4C6A"/>
    <w:rsid w:val="00CE019F"/>
    <w:rsid w:val="00CE3752"/>
    <w:rsid w:val="00CE3AD0"/>
    <w:rsid w:val="00CE5127"/>
    <w:rsid w:val="00CE6A92"/>
    <w:rsid w:val="00CF11C3"/>
    <w:rsid w:val="00CF1265"/>
    <w:rsid w:val="00CF30DF"/>
    <w:rsid w:val="00CF3FD1"/>
    <w:rsid w:val="00CF6545"/>
    <w:rsid w:val="00D16B97"/>
    <w:rsid w:val="00D342F9"/>
    <w:rsid w:val="00D373A7"/>
    <w:rsid w:val="00D47188"/>
    <w:rsid w:val="00D506CD"/>
    <w:rsid w:val="00D56352"/>
    <w:rsid w:val="00D57773"/>
    <w:rsid w:val="00D626FD"/>
    <w:rsid w:val="00D633BB"/>
    <w:rsid w:val="00D70327"/>
    <w:rsid w:val="00D70970"/>
    <w:rsid w:val="00D729DE"/>
    <w:rsid w:val="00D739B7"/>
    <w:rsid w:val="00D751EA"/>
    <w:rsid w:val="00D822E9"/>
    <w:rsid w:val="00D85502"/>
    <w:rsid w:val="00D8620C"/>
    <w:rsid w:val="00D86904"/>
    <w:rsid w:val="00D9068B"/>
    <w:rsid w:val="00D9426B"/>
    <w:rsid w:val="00D955FE"/>
    <w:rsid w:val="00DA7768"/>
    <w:rsid w:val="00DB2646"/>
    <w:rsid w:val="00DC004D"/>
    <w:rsid w:val="00DC360A"/>
    <w:rsid w:val="00DC3C84"/>
    <w:rsid w:val="00DC6944"/>
    <w:rsid w:val="00DD0E10"/>
    <w:rsid w:val="00DD1250"/>
    <w:rsid w:val="00DD4ED5"/>
    <w:rsid w:val="00DD7CE2"/>
    <w:rsid w:val="00DE471C"/>
    <w:rsid w:val="00DE6A87"/>
    <w:rsid w:val="00DF3D7A"/>
    <w:rsid w:val="00E06E23"/>
    <w:rsid w:val="00E14F81"/>
    <w:rsid w:val="00E158A7"/>
    <w:rsid w:val="00E159E6"/>
    <w:rsid w:val="00E2101C"/>
    <w:rsid w:val="00E226CF"/>
    <w:rsid w:val="00E2511F"/>
    <w:rsid w:val="00E25FF7"/>
    <w:rsid w:val="00E31043"/>
    <w:rsid w:val="00E32285"/>
    <w:rsid w:val="00E33347"/>
    <w:rsid w:val="00E33539"/>
    <w:rsid w:val="00E34029"/>
    <w:rsid w:val="00E364B7"/>
    <w:rsid w:val="00E40793"/>
    <w:rsid w:val="00E436A4"/>
    <w:rsid w:val="00E4388F"/>
    <w:rsid w:val="00E528A9"/>
    <w:rsid w:val="00E54A48"/>
    <w:rsid w:val="00E560A6"/>
    <w:rsid w:val="00E604D6"/>
    <w:rsid w:val="00E60795"/>
    <w:rsid w:val="00E73321"/>
    <w:rsid w:val="00E74139"/>
    <w:rsid w:val="00E83D20"/>
    <w:rsid w:val="00E85367"/>
    <w:rsid w:val="00E8648B"/>
    <w:rsid w:val="00E90F52"/>
    <w:rsid w:val="00E963C7"/>
    <w:rsid w:val="00E971C5"/>
    <w:rsid w:val="00EA23F2"/>
    <w:rsid w:val="00EA60A4"/>
    <w:rsid w:val="00EA7CD8"/>
    <w:rsid w:val="00EB0AFB"/>
    <w:rsid w:val="00EB207A"/>
    <w:rsid w:val="00EB55CF"/>
    <w:rsid w:val="00EB5654"/>
    <w:rsid w:val="00EC0F6A"/>
    <w:rsid w:val="00ED0E71"/>
    <w:rsid w:val="00ED34A7"/>
    <w:rsid w:val="00EE0176"/>
    <w:rsid w:val="00EE0933"/>
    <w:rsid w:val="00EE1B3E"/>
    <w:rsid w:val="00EE6ED8"/>
    <w:rsid w:val="00EF347D"/>
    <w:rsid w:val="00EF670C"/>
    <w:rsid w:val="00EF73D3"/>
    <w:rsid w:val="00F032B7"/>
    <w:rsid w:val="00F05A8C"/>
    <w:rsid w:val="00F10191"/>
    <w:rsid w:val="00F20C45"/>
    <w:rsid w:val="00F327DF"/>
    <w:rsid w:val="00F3457C"/>
    <w:rsid w:val="00F3646A"/>
    <w:rsid w:val="00F374C3"/>
    <w:rsid w:val="00F40C4F"/>
    <w:rsid w:val="00F40F38"/>
    <w:rsid w:val="00F41885"/>
    <w:rsid w:val="00F46BB0"/>
    <w:rsid w:val="00F5025B"/>
    <w:rsid w:val="00F522C7"/>
    <w:rsid w:val="00F56207"/>
    <w:rsid w:val="00F61BCB"/>
    <w:rsid w:val="00F61D42"/>
    <w:rsid w:val="00F62AE8"/>
    <w:rsid w:val="00F641CD"/>
    <w:rsid w:val="00F6750B"/>
    <w:rsid w:val="00F67BC5"/>
    <w:rsid w:val="00F67FE2"/>
    <w:rsid w:val="00F722DB"/>
    <w:rsid w:val="00F73106"/>
    <w:rsid w:val="00F75366"/>
    <w:rsid w:val="00F7759C"/>
    <w:rsid w:val="00F8224E"/>
    <w:rsid w:val="00F84B12"/>
    <w:rsid w:val="00F86657"/>
    <w:rsid w:val="00F9192D"/>
    <w:rsid w:val="00F921B0"/>
    <w:rsid w:val="00F93A75"/>
    <w:rsid w:val="00FA1489"/>
    <w:rsid w:val="00FA70D7"/>
    <w:rsid w:val="00FB11ED"/>
    <w:rsid w:val="00FB3484"/>
    <w:rsid w:val="00FB553B"/>
    <w:rsid w:val="00FD61DD"/>
    <w:rsid w:val="00FD6291"/>
    <w:rsid w:val="00FE4824"/>
    <w:rsid w:val="00FE4930"/>
    <w:rsid w:val="00FF4420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E7C59"/>
  <w15:docId w15:val="{90E211B8-063E-44BD-A929-315A67DD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F81"/>
    <w:pPr>
      <w:spacing w:line="252" w:lineRule="auto"/>
    </w:pPr>
    <w:rPr>
      <w:rFonts w:ascii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CF6545"/>
    <w:pPr>
      <w:keepNext/>
      <w:spacing w:before="480" w:after="0" w:line="276" w:lineRule="auto"/>
      <w:outlineLvl w:val="0"/>
    </w:pPr>
    <w:rPr>
      <w:rFonts w:ascii="Cambria" w:eastAsia="Times New Roman" w:hAnsi="Cambria" w:cs="Times New Roman"/>
      <w:b/>
      <w:color w:val="4472C4" w:themeColor="accent1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63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5C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41D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41D"/>
    <w:rPr>
      <w:rFonts w:ascii="Calibri" w:hAnsi="Calibri" w:cs="Calibri"/>
    </w:rPr>
  </w:style>
  <w:style w:type="paragraph" w:styleId="Akapitzlist">
    <w:name w:val="List Paragraph"/>
    <w:aliases w:val="Numerowanie,Akapit z listą BS,Kolorowa lista — akcent 11,Bullet Number,List Paragraph1,lp1,List Paragraph2,ISCG Numerowanie,lp11,List Paragraph11,Bullet 1,Use Case List Paragraph,Body MS Bullet,T_SZ_List Paragraph,L1,Akapit z listą5,CP-UC"/>
    <w:basedOn w:val="Normalny"/>
    <w:link w:val="AkapitzlistZnak"/>
    <w:uiPriority w:val="34"/>
    <w:qFormat/>
    <w:rsid w:val="002044F0"/>
    <w:pPr>
      <w:ind w:left="720"/>
      <w:contextualSpacing/>
    </w:pPr>
  </w:style>
  <w:style w:type="paragraph" w:customStyle="1" w:styleId="Pa0">
    <w:name w:val="Pa0"/>
    <w:basedOn w:val="Normalny"/>
    <w:next w:val="Normalny"/>
    <w:uiPriority w:val="99"/>
    <w:rsid w:val="00A77A23"/>
    <w:pPr>
      <w:autoSpaceDE w:val="0"/>
      <w:autoSpaceDN w:val="0"/>
      <w:adjustRightInd w:val="0"/>
      <w:spacing w:after="0" w:line="16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A77A23"/>
    <w:rPr>
      <w:color w:val="000000"/>
      <w:sz w:val="15"/>
      <w:szCs w:val="15"/>
    </w:rPr>
  </w:style>
  <w:style w:type="character" w:customStyle="1" w:styleId="Nagwek1Znak">
    <w:name w:val="Nagłówek 1 Znak"/>
    <w:basedOn w:val="Domylnaczcionkaakapitu"/>
    <w:link w:val="Nagwek1"/>
    <w:rsid w:val="00CF6545"/>
    <w:rPr>
      <w:rFonts w:ascii="Cambria" w:eastAsia="Times New Roman" w:hAnsi="Cambria" w:cs="Times New Roman"/>
      <w:b/>
      <w:color w:val="4472C4" w:themeColor="accent1"/>
      <w:sz w:val="28"/>
      <w:szCs w:val="20"/>
      <w:lang w:val="pl-PL"/>
    </w:rPr>
  </w:style>
  <w:style w:type="paragraph" w:customStyle="1" w:styleId="Default">
    <w:name w:val="Default"/>
    <w:rsid w:val="008479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470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707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5317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Default"/>
    <w:next w:val="Default"/>
    <w:uiPriority w:val="99"/>
    <w:rsid w:val="0053177C"/>
    <w:pPr>
      <w:spacing w:line="161" w:lineRule="atLeast"/>
    </w:pPr>
    <w:rPr>
      <w:rFonts w:ascii="Dell Replica" w:hAnsi="Dell Replica" w:cstheme="minorBidi"/>
      <w:color w:val="auto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4F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4F81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4F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BCA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7BC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67BC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7BC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335"/>
    <w:rPr>
      <w:rFonts w:ascii="Calibri" w:hAnsi="Calibri"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335"/>
    <w:rPr>
      <w:rFonts w:ascii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7723BD"/>
    <w:pPr>
      <w:spacing w:after="0" w:line="240" w:lineRule="auto"/>
    </w:pPr>
    <w:rPr>
      <w:lang w:val="pl-PL"/>
    </w:rPr>
  </w:style>
  <w:style w:type="character" w:customStyle="1" w:styleId="AkapitzlistZnak">
    <w:name w:val="Akapit z listą Znak"/>
    <w:aliases w:val="Numerowanie Znak,Akapit z listą BS Znak,Kolorowa lista — akcent 11 Znak,Bullet Number Znak,List Paragraph1 Znak,lp1 Znak,List Paragraph2 Znak,ISCG Numerowanie Znak,lp11 Znak,List Paragraph11 Znak,Bullet 1 Znak,Body MS Bullet Znak"/>
    <w:link w:val="Akapitzlist"/>
    <w:uiPriority w:val="99"/>
    <w:qFormat/>
    <w:locked/>
    <w:rsid w:val="00623FDE"/>
    <w:rPr>
      <w:rFonts w:ascii="Calibri" w:hAnsi="Calibri" w:cs="Calibri"/>
      <w:lang w:val="pl-PL"/>
    </w:rPr>
  </w:style>
  <w:style w:type="character" w:customStyle="1" w:styleId="apple-style-span">
    <w:name w:val="apple-style-span"/>
    <w:basedOn w:val="Domylnaczcionkaakapitu"/>
    <w:rsid w:val="00873072"/>
  </w:style>
  <w:style w:type="table" w:customStyle="1" w:styleId="Tabela-Siatka1">
    <w:name w:val="Tabela - Siatka1"/>
    <w:basedOn w:val="Standardowy"/>
    <w:next w:val="Tabela-Siatka"/>
    <w:uiPriority w:val="59"/>
    <w:rsid w:val="00E74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6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545"/>
    <w:rPr>
      <w:rFonts w:ascii="Tahoma" w:hAnsi="Tahoma" w:cs="Tahoma"/>
      <w:sz w:val="16"/>
      <w:szCs w:val="16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5635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F5C31"/>
    <w:rPr>
      <w:rFonts w:asciiTheme="majorHAnsi" w:eastAsiaTheme="majorEastAsia" w:hAnsiTheme="majorHAnsi" w:cstheme="majorBidi"/>
      <w:b/>
      <w:bCs/>
      <w:color w:val="4472C4" w:themeColor="accent1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813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817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366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1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470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0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73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6132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76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00D91983FD4892CE59E241BD9F1A" ma:contentTypeVersion="2" ma:contentTypeDescription="Create a new document." ma:contentTypeScope="" ma:versionID="7768d912e5111fb86ea538f61120bac7">
  <xsd:schema xmlns:xsd="http://www.w3.org/2001/XMLSchema" xmlns:xs="http://www.w3.org/2001/XMLSchema" xmlns:p="http://schemas.microsoft.com/office/2006/metadata/properties" xmlns:ns2="9623a1e5-0640-4f59-998b-c35e96bbcb16" targetNamespace="http://schemas.microsoft.com/office/2006/metadata/properties" ma:root="true" ma:fieldsID="49d527e2d25920a5c173e5f919f155eb" ns2:_="">
    <xsd:import namespace="9623a1e5-0640-4f59-998b-c35e96bbc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a1e5-0640-4f59-998b-c35e96b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DE71-448A-4046-9500-EDE2B2AD6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AB880-9569-4E17-AB22-805A2361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3a1e5-0640-4f59-998b-c35e96bbc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666330-4960-4AD6-B4D8-4519D436A47E}">
  <ds:schemaRefs>
    <ds:schemaRef ds:uri="http://purl.org/dc/dcmitype/"/>
    <ds:schemaRef ds:uri="9623a1e5-0640-4f59-998b-c35e96bbcb1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13F8210-CF2B-4A0D-BFA5-A9880982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18</Pages>
  <Words>6473</Words>
  <Characters>38838</Characters>
  <Application>Microsoft Office Word</Application>
  <DocSecurity>0</DocSecurity>
  <Lines>323</Lines>
  <Paragraphs>90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Bezdzietny</dc:creator>
  <cp:lastModifiedBy>Użytkownik systemu Windows</cp:lastModifiedBy>
  <cp:revision>85</cp:revision>
  <cp:lastPrinted>2025-11-13T09:39:00Z</cp:lastPrinted>
  <dcterms:created xsi:type="dcterms:W3CDTF">2025-10-27T11:22:00Z</dcterms:created>
  <dcterms:modified xsi:type="dcterms:W3CDTF">2026-03-03T08:34:00Z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e70ee2-0cb4-4d60-aee5-75ef2c4c8a90_Enabled">
    <vt:lpwstr>True</vt:lpwstr>
  </property>
  <property fmtid="{D5CDD505-2E9C-101B-9397-08002B2CF9AE}" pid="3" name="MSIP_Label_7de70ee2-0cb4-4d60-aee5-75ef2c4c8a90_SiteId">
    <vt:lpwstr>945c199a-83a2-4e80-9f8c-5a91be5752dd</vt:lpwstr>
  </property>
  <property fmtid="{D5CDD505-2E9C-101B-9397-08002B2CF9AE}" pid="4" name="MSIP_Label_7de70ee2-0cb4-4d60-aee5-75ef2c4c8a90_Ref">
    <vt:lpwstr>https://api.informationprotection.azure.com/api/945c199a-83a2-4e80-9f8c-5a91be5752dd</vt:lpwstr>
  </property>
  <property fmtid="{D5CDD505-2E9C-101B-9397-08002B2CF9AE}" pid="5" name="MSIP_Label_7de70ee2-0cb4-4d60-aee5-75ef2c4c8a90_Owner">
    <vt:lpwstr>Maciej_Warachowski@Dell.com</vt:lpwstr>
  </property>
  <property fmtid="{D5CDD505-2E9C-101B-9397-08002B2CF9AE}" pid="6" name="MSIP_Label_7de70ee2-0cb4-4d60-aee5-75ef2c4c8a90_SetDate">
    <vt:lpwstr>2017-11-20T11:43:42.1408172+01:00</vt:lpwstr>
  </property>
  <property fmtid="{D5CDD505-2E9C-101B-9397-08002B2CF9AE}" pid="7" name="MSIP_Label_7de70ee2-0cb4-4d60-aee5-75ef2c4c8a90_Name">
    <vt:lpwstr>Internal Use</vt:lpwstr>
  </property>
  <property fmtid="{D5CDD505-2E9C-101B-9397-08002B2CF9AE}" pid="8" name="MSIP_Label_7de70ee2-0cb4-4d60-aee5-75ef2c4c8a90_Application">
    <vt:lpwstr>Microsoft Azure Information Protection</vt:lpwstr>
  </property>
  <property fmtid="{D5CDD505-2E9C-101B-9397-08002B2CF9AE}" pid="9" name="MSIP_Label_7de70ee2-0cb4-4d60-aee5-75ef2c4c8a90_Extended_MSFT_Method">
    <vt:lpwstr>Manual</vt:lpwstr>
  </property>
  <property fmtid="{D5CDD505-2E9C-101B-9397-08002B2CF9AE}" pid="10" name="MSIP_Label_c6e0e3e8-8921-4906-b77b-3374d4e05132_Enabled">
    <vt:lpwstr>True</vt:lpwstr>
  </property>
  <property fmtid="{D5CDD505-2E9C-101B-9397-08002B2CF9AE}" pid="11" name="MSIP_Label_c6e0e3e8-8921-4906-b77b-3374d4e05132_SiteId">
    <vt:lpwstr>945c199a-83a2-4e80-9f8c-5a91be5752dd</vt:lpwstr>
  </property>
  <property fmtid="{D5CDD505-2E9C-101B-9397-08002B2CF9AE}" pid="12" name="MSIP_Label_c6e0e3e8-8921-4906-b77b-3374d4e05132_Ref">
    <vt:lpwstr>https://api.informationprotection.azure.com/api/945c199a-83a2-4e80-9f8c-5a91be5752dd</vt:lpwstr>
  </property>
  <property fmtid="{D5CDD505-2E9C-101B-9397-08002B2CF9AE}" pid="13" name="MSIP_Label_c6e0e3e8-8921-4906-b77b-3374d4e05132_Owner">
    <vt:lpwstr>Maciej_Warachowski@Dell.com</vt:lpwstr>
  </property>
  <property fmtid="{D5CDD505-2E9C-101B-9397-08002B2CF9AE}" pid="14" name="MSIP_Label_c6e0e3e8-8921-4906-b77b-3374d4e05132_SetDate">
    <vt:lpwstr>2017-11-20T11:43:42.1408172+01:00</vt:lpwstr>
  </property>
  <property fmtid="{D5CDD505-2E9C-101B-9397-08002B2CF9AE}" pid="15" name="MSIP_Label_c6e0e3e8-8921-4906-b77b-3374d4e05132_Name">
    <vt:lpwstr>No Visual Marking</vt:lpwstr>
  </property>
  <property fmtid="{D5CDD505-2E9C-101B-9397-08002B2CF9AE}" pid="16" name="MSIP_Label_c6e0e3e8-8921-4906-b77b-3374d4e05132_Application">
    <vt:lpwstr>Microsoft Azure Information Protection</vt:lpwstr>
  </property>
  <property fmtid="{D5CDD505-2E9C-101B-9397-08002B2CF9AE}" pid="17" name="MSIP_Label_c6e0e3e8-8921-4906-b77b-3374d4e05132_Extended_MSFT_Method">
    <vt:lpwstr>Manual</vt:lpwstr>
  </property>
  <property fmtid="{D5CDD505-2E9C-101B-9397-08002B2CF9AE}" pid="18" name="MSIP_Label_c6e0e3e8-8921-4906-b77b-3374d4e05132_Parent">
    <vt:lpwstr>7de70ee2-0cb4-4d60-aee5-75ef2c4c8a90</vt:lpwstr>
  </property>
  <property fmtid="{D5CDD505-2E9C-101B-9397-08002B2CF9AE}" pid="19" name="Sensitivity">
    <vt:lpwstr>Internal Use No Visual Marking</vt:lpwstr>
  </property>
  <property fmtid="{D5CDD505-2E9C-101B-9397-08002B2CF9AE}" pid="20" name="ContentTypeId">
    <vt:lpwstr>0x0101007C6A00D91983FD4892CE59E241BD9F1A</vt:lpwstr>
  </property>
</Properties>
</file>